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 48.551</w:t>
      </w:r>
    </w:p>
    <w:p/>
    <w:p>
      <w:r>
        <w:t xml:space="preserve">BENS ADQUIRIDOS DURANTE UNIÃO ESTÁVEL EM SUB-ROGAÇÃO — QUANDO NÃO OCORRE PRESCRIÇÃO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se não se tem certeza da data em que se extinguiu a sociedade de fato, não há como iniciar a contagem do prazo prescricional. Se se extinguiu em 1981, não está prescrita a ação. É certo que, tratando-se de patrimônio comum, não poderia o prazo ser contado na constância da sociedade. - Não fossem tais razões, não teria ocorrido a prescrição, como consignou a sentença, porque se trata de coisa comum, que pode ser dividida a qualquer tempo, não havendo prova de que a posse exclusiva é superior a 20 anos. No mérito, procede em parte o apelo. - A contribuição da concubina na aquisição e conservação do patrimônio é manifesta. Residia, ela, numa chácara, e ali plantava, e se dedicava não só às lides da casa e dos filhos, mas também da terra. Para tal, basta que se leia o depoimento pessoal do requerido. - Vêm reiteradamente afirmando os tribunais que não só o esforço comum em dinheiro possibilita a partilha, também os cuidados com a casa e os filhos. Teve a autora três filhos nascidos de sua união com o réu. - Nem se alegue que o concubinato se deu antes do advento da Carta Política de 1988. Ainda que verdadeira a afirmação, não menos verdadeiro que a proteção assegurada à união estável, por seu art. 226, § 3º, alcança as situações anteriores. - Em face dos termos da sentença, deverão ser partilhados um caminhão velho, no estado em que se encontra, e cinco terrenos, adquiridos em 13-04-67, 28-11-68, 04-06-69 e 08-08-69, descritos às fls. 03 e 04. - Contudo, os imóveis adquiridos em 04-06-69 e 08-08-69 o foram com o produto da venda de pa trimônio que o apelante já possuía antes do início da união de fato. - As cópias das escrituras de venda constantes às fls. 56 e ss. demonstram que, em 09-06-69, alienou o recorrente dois terrenos situados na Rua O. R., nesta Capital, pelo valor total de NCr$ 10.000,00. No mesmo mês adquiriu um imóvel de 17 ha, no Município de Gravataí, e, no mês de agosto, mais um imóvel de 40.992 m2, importando o preço pago por ambos os imóveis em valor inferior ao preço pelo qual foram vendidos os terrenos na Capital. - Tenho que, assim, ficou inequivocamente demonstrado que os imóveis adquiridos em 04-06-69 e 08-08-69 foram havidos em sub-rogação. Como na união estável estabelece-se o regime da comunhão parcial de bens, é de aplicar-se o disposto no art. 269, II, do CC. - No mais, não assiste qualquer razão ao pretender que deva o patrimônio ser dividido com outra amásia, de nome S. P. Esta, ouvida à fl. 53, referiu que morou com o réu de 1958 a 1964, tendo da união nascido uma filha. Ora, a união do apelante com a apelada iniciou-se em 1964. Trata-se, portanto, de períodos distintos. A afirmação de que também em 1969 viveu, ela, cinco anos com o recorrente não faz qualquer sentido e não vem acompanhada de qualquer prova. Ac. de 18-09-1996 Arquivo do EMFOR - NI/1003 EMENTÁRIO FORENSE. Janeiro, 1998. Ano LI. Nº 590 É imprescritível a ação de investigação de paternidade, mas não o é a de petição de herança. Referência: - Cód. Civil, artigos 363, 177 e 179; - Lei nº 883, de 21.10.49, artigo 1º. ERE 48.551, de 14.06.63 (D. de Just. de 16.08.63, p. 715); ERE 47.445, de 15.01.62; ERE 49.526, de 09.11.62 (D. de Just. de 29.11.62, p. 3.620); RE 54.099, de 17.09.63; RE 47.859, de 05.01.62. Aprovada em Sessão de 13-12-1963 - pág. 83 EMFOR 193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ocorre prescrição da ação de partilha de bens comuns adquiridos durante união estável, se não comprovado o decurso de prazo prescricional, por ausente prova da data da extinção da sociedade de fato e da posse exclusiva. Bens adquiridos em sub-rogação não integram a partilha, incidindo o disposto no art. 269, II, do CC.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2026-10-26T05:58:00.596Z</dcterms:created>
  <dcterms:modified xsi:type="dcterms:W3CDTF">2026-10-26T05:58:00.596Z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