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49.808</w:t>
      </w:r>
    </w:p>
    <w:p/>
    <w:p>
      <w:r>
        <w:t xml:space="preserve">EXTRAVIO OU PERDA DA CARGA — AÇÃO DE INDENIZAÇÃO - PRAZO ÂNUO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um ano a ação do segurador sub-rogado para haver indenização por extravio ou perda de carga transportada por navio. Referência: - Cód. Comercial, artigo 499. RE 49.808, de 25.09.62 (D. de Just. de 13.12.62, p. 862); RE 49.215, de 03.07.62; RE 53.358, de 25.06.63 (D. de Just. de 16.08.63, p. 728); RE 52.936, de 28.05.63. ERE 37.907, de 15.03.63; ERE 37.494, de 20.07.62 (D. de Just. de 16.11.62, p. 677). Aprovada em Sessão de 13-12-1963 - pág. 84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2026-07-28T02:04:19.176Z</dcterms:created>
  <dcterms:modified xsi:type="dcterms:W3CDTF">2026-07-28T02:04:19.176Z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