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49.808</w:t>
      </w:r>
    </w:p>
    <w:p/>
    <w:p>
      <w:r>
        <w:t xml:space="preserve">EXTRAVIO OU PERDA DA CARGA — AÇÃO DE INDENIZAÇÃO - PRAZO ÂNUO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um ano a ação do segurador sub-rogado para haver indenização por extravio ou perda de carga transportada por navio. Referência: - Cód. Comercial, artigo 499. RE 49.808, de 25.09.62 (D. de Just. de 13.12.62, p. 862); RE 49.215, de 03.07.62; RE 53.358, de 25.06.63 (D. de Just. de 16.08.63, p. 728); RE 52.936, de 28.05.63. ERE 37.907, de 15.03.63; ERE 37.494, de 20.07.62 (D. de Just. de 16.11.62, p. 677). Aprovada em Sessão de 13-12-1963 - pág. 84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2026-10-26T04:55:05.434Z</dcterms:created>
  <dcterms:modified xsi:type="dcterms:W3CDTF">2026-10-26T04:55:05.434Z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