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02. ENTIDADES — DISPÕE SOBRE</w:t>
      </w:r>
    </w:p>
    <w:p/>
    <w:p>
      <w:pPr>
        <w:pStyle w:val="Heading2"/>
      </w:pPr>
      <w:r>
        <w:rPr>
          <w:b/>
          <w:bCs/>
        </w:rPr>
        <w:t xml:space="preserve">Ementa</w:t>
      </w:r>
    </w:p>
    <w:p>
      <w:r>
        <w:t xml:space="preserve">Art. 43. Todos os planos de benefícios deverão ser avaliados atuarialmente, em cada balanço, por entidades ou profissionais legalmente habilitados. Parágrafo único. A responsabilidade profissional do atuário, verificada pela inadequação dos planos estabelecidos, quer no que se refere às contribuições, quer no que diz respeito ao valor das reservas, será apurada pelo Instituto Brasileiro de Atuária - IBA, por solicitação dos interessados, independentemente da ação judicial cabível. Art. 44. Nas avaliações de que trata o artigo anterior deverão ser observadas as condições fixadas pelo órgão normativo do Ministério da Previdência e Assistência Social a respeito de: I - regimes financeiros; II - tábuas biométricas; III - taxa de juro. Art. 45. Admitir-se-á, no caso das reservas técnicas relativas a benefícios a conceder sob a forma de renda, que os fundos de garantia sejam mantidos em níveis não inferiores a 70% (setenta por cento) das correspondentes necessidades, se as patrocinadoras das entidades assumirem o compromisso de manter, em seus respectivos patrimônios, parcelas equivalentes às insuficiências observadas, de modo que sua cobertura possa, em qualquer época, ser realizada. Parágrafo único. Em caso de liquidação das patrocinadoras as entidades fechadas terão privilégio especial sobre os fundos constituídos conforme disposto neste artigo. Art. 46. Nas entidades fechadas o resultado do exercício, satisfeitas todas as exigências legais e regulamentares no que se refere aos benefícios, será destinado: a constituição de uma reserva de contingência de benefícios até o limite de 25% (vinte e cinco por cento) do valor da reserva matemática; e, havendo sobra, ao reajustamento de benefícios acima dos valores estipulados nos §§ 1° e 2º do artigo 42, liberando, se for o caso, parcial ou totalmente as patrocinadoras do compromisso previsto no § 3º do mesmo artigo. Art. 47. As entidades fechadas submeterão suas contas a auditores independentes, registrados no Banco Central do Brasil, divulgando, anualmente, entre os participantes o parecer respectivo juntamente com o Balanço Geral e demonstração de Resultado do Exercício. Parágrafo único. A auditoria independente poderá ser exigida também quanto aos aspectos atuariais, conforme for estabelecido pelo órgão normativo do Ministério da Previdência e Assistência Social. Art. 48. As entidades fechadas deverão levantar balancetes ao final de cada trimestre, e balanço geral no último dia útil do ano. Parágrafo único. O balanço e os balancetes deverão ser enviados ao Órgão Executivo do Ministério da Previdência e Assistência Social para exame e ao Banco Central do Brasil para fins estatísticos. Art. 49. As entidades fechadas deverão comunicar ao Órgão Executivo do Ministério da Previdência e Assistência Social os atos relativos à eleição de diretores e membros de conselhos deliberativos, consultivos, fiscais ou assemelhados, no prazo de 15 (quinze) dias de sua ocorrência, observadas as diretrizes para tanto estabelecidas pelo órgão normativo do Ministério da Previdência e Assistência Social. Art. 50. Ressalvadas as empresas públicas, sociedades de economia mista e as fundações vinculadas à Administração Pública, os diretores das patrocinadoras das entidades fechadas poderão ser, simultaneamente, diretores destas, desde que os patrimônios das entidades sejam independentes. Parágrafo único. As entidades fechadas só poderão realizar operações ativas com as respectivas patrocinadoras nas condições e limites estabelecidos pelo órgão normativo do Ministério da Previdência e Assistência Social. CAPÍTULO IV Da Fiscalização e Intervenção SEÇÃO I Normas Gerais Art. 51. Sempre que ocorrer insuficiência de cobertura, ou inadequada aplicação das reservas técnicas, fundos especiais ou provisões, ou anormalidades graves no setor administrativo de qualquer entidade de previdência privada, a critério do órgão fiscalizador, poderá este nomear, por prazo determinado, um diretor-fiscal com as atribuições e vantagens que, em cada caso, forem fixados pelo órgão normativo. Art. 52. O descumprimento de qualquer determinação do diretor-fiscal por administradores e membros de conselhos deliberativos, consultivos, fiscais ou assemelhados, ou funcionários da entidade, acarretará o afastamento do infrator, sem prejuízo das sanções penais cabíveis, assegurado ao interessado o direito de recurso, sem efeito suspensivo, para o Ministro de Estado da área a que estiver vinculada a entidade. Art. 53. Os administradores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2026-07-28T02:02:14.797Z</dcterms:created>
  <dcterms:modified xsi:type="dcterms:W3CDTF">2026-07-28T02:02:14.797Z</dcterms:modified>
</cp:coreProperties>
</file>

<file path=docProps/custom.xml><?xml version="1.0" encoding="utf-8"?>
<Properties xmlns="http://schemas.openxmlformats.org/officeDocument/2006/custom-properties" xmlns:vt="http://schemas.openxmlformats.org/officeDocument/2006/docPropsVTypes"/>
</file>