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105.137-0</w:t>
      </w:r>
    </w:p>
    <w:p>
      <w:r>
        <w:rPr>
          <w:b/>
          <w:bCs/>
        </w:rPr>
        <w:t xml:space="preserve">Julgado em: </w:t>
      </w:r>
      <w:r>
        <w:t xml:space="preserve">07/11/1985</w:t>
      </w:r>
    </w:p>
    <w:p/>
    <w:p>
      <w:r>
        <w:t xml:space="preserve">CONTRIBUIÇÕES E BENEFÍCIOS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Em caso idêntico, RE 105.137-0 - RS, o recurso foi conhecido pela letra "d" do permissivo constitucional, tendo em vista o Acórdão do Tribunal de Santa Catarina, analisado no despacho que admitiu o apelo extremo , e o voto do eminente Desembargador Galeno Lacerda, também referido no acórdão impugnado que teve os contratos em exame como de prazo indeterminado e as Leis ns. 6.205 e 6.423 como de Direito Público e de natureza monetária. - Em consequência, o recurso foi conhecido parcialmente, como se vê de sua ementa: "A moeda do pagamento das contribuições e dos benefícios da previdência. . . " - Pelos mesmos motivos, reportando-me ao voto então proferido, conheço do recurso e lhe dou provimento parcial, para que a recorrente seja obrigada ao pagamento dos valores correspondentes aos salários mínimos convencionados, convertidos em ORTN na lei que a obrigação na nova moeda ( ORTN) durante o restante do contrato. Julgado em 08-11-1985 Revista Trimestral de Jurisprudência. Vol. 117 - Pág 376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moeda do pagamento das contribuições e dos benefícios da previdência privada tem o seu valor definido pela Lei nº 6.435/77, segundo os índices das ORTNs para todas as partes. Não há direito adquirido a um determinado padrão monetário pretérito, seja ele o mil- réis, o cruzeiro velho ou a indexação pelo salário-mínimo. O pagamento se fará sempre pela moeda definida pela lei do dia do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2026-07-28T04:19:14.233Z</dcterms:created>
  <dcterms:modified xsi:type="dcterms:W3CDTF">2026-07-28T04:19:14.233Z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