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134/194</w:t>
      </w:r>
    </w:p>
    <w:p>
      <w:r>
        <w:rPr>
          <w:b/>
          <w:bCs/>
        </w:rPr>
        <w:t xml:space="preserve">Julgado em: </w:t>
      </w:r>
      <w:r>
        <w:t xml:space="preserve">19/10/1987</w:t>
      </w:r>
    </w:p>
    <w:p/>
    <w:p>
      <w:r>
        <w:t xml:space="preserve">PROVENTOS — REAJUSTE - SE EXIGE FONTE AUTÔNOMA DE RECEITA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convenhamos que já existem centenas de precedentes recusando a alegação de que a proporcionalidade seja permitida na legislação pertinente e de que o cálculo careça da respectiva fonte de custeio; de certo que não há lógica no raciocínio defendido pelo apelante, eis que o reajuste tem parâmetro próprio e o critério, no tema da indagada fonte de custeio (art.165. § único, da C.F.), é assegurado exatamente pela quantia descontada dos segurados, inclusive dos próprios aposentados, como ocorreu até recente vedação. - Em suma, temos dito que, a vingar esta draconiana forma proporcional de reajuste dos benefícios em manutenção, ter-se-á que dois segurados, contribuintes dos mesmos valores e aposentados com os mesmos proventos, logo, perceberão benefícios diversos à conta, apenas, de haverem iniciado a inativação em meses diferentes. Esse o reflexo - dito - inexistente nas razões do apelo - da Portaria MPAS 1.901/79 e legislação subsequente no cálculo do reajuste do benefício, independentemente da data de aposentação do segurado. Julgado em 20-10-1987 Arquivo do EMFOR, TRF/0005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fundamento legal o critério pelo qual o INPS, no primeiro reajuste de proventos, toma por base, não o índice integral da política salarial, mas outro proporcional ao número de meses em que o segurado está em inatividade. (Ementa da 2ª T, na apelação nº 134/194).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2026-07-28T01:47:05.224Z</dcterms:created>
  <dcterms:modified xsi:type="dcterms:W3CDTF">2026-07-28T01:47:05.224Z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