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137.794-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OCTAVIO GALLOTTI</w:t>
      </w:r>
    </w:p>
    <w:p/>
    <w:p>
      <w:r>
        <w:t xml:space="preserve">VALOR — REVISÃO NA FORMA DO ART. 58, ADCT - APLICAÇÃO RETROATIVA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Abrindo o debate, acentuo que o Supremo Tribunal Federal tem decidido que o benefício do art. 58 do ADCT - a constância da relação entre a quantidade de salários mínimos e o valor do benefício, observando-se tal critério de atualização até a implantação do plano de custeio e benefícios referido no art. 59 do ADCT - foi estabelecido para o futuro, ou seja, a partir do sétimo mês da promulgação da Constituição (ADCT, art. 58, parágrafo único), não comportando aplicação retroativa (RE 137.794-SP, Relator Ministro OCTAVIO GALLOTTI, "DJ" de 27-9-91; RE 140.492-SP, Relator Ministro ILMAR GALVÃO, "DJ" de 6-8-93). - Ora, no caso, a ação acidentária foi ajuizada anteriormente à promulgação da Constituição. Sem embargo disso, na forma do disposto no art. 462, CPC, impõe-se a aplicação da regra do art. 58, ADCT, a partir do mês de abril de 1989, exatamente como previsto no parágrafo único do art. 58, ADCT. Ac. de 16-11-1993 Arquivo do EMFOR - STF/411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do art. 58, ADCT - a constância da relação entre a quantidade de salários mínimos e o valor do benefício, observando-se tal critério de atualização até a implantação do plano de custeio e benefícios referido no art. 59, ADCT - foi estabelecido para o futuro, ou seja, a partir do sétimo mês da promulgação da Constituição (ADCT, art. 58, parágrafo único), não comportando aplicação retroativa.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2026-07-28T04:13:04.044Z</dcterms:created>
  <dcterms:modified xsi:type="dcterms:W3CDTF">2026-07-28T04:13:04.044Z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