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PREVIDÊNCIA SOCIAL</w:t>
      </w:r>
    </w:p>
    <w:p>
      <w:r>
        <w:rPr>
          <w:i/>
          <w:iCs/>
          <w:color w:val="666666"/>
        </w:rPr>
        <w:t xml:space="preserve">APOSENTADORIA POR TEMPO DE SERVIÇO</w:t>
      </w:r>
    </w:p>
    <w:p/>
    <w:p>
      <w:r>
        <w:rPr>
          <w:b/>
          <w:bCs/>
        </w:rPr>
        <w:t xml:space="preserve">Recurso: </w:t>
      </w:r>
      <w:r>
        <w:t xml:space="preserve">RE 105.137-0.</w:t>
      </w:r>
    </w:p>
    <w:p>
      <w:r>
        <w:rPr>
          <w:b/>
          <w:bCs/>
        </w:rPr>
        <w:t xml:space="preserve">Tribunal: </w:t>
      </w:r>
      <w:r>
        <w:t xml:space="preserve">STF</w:t>
      </w:r>
    </w:p>
    <w:p/>
    <w:p>
      <w:r>
        <w:t xml:space="preserve">CONTRIBUIÇÕES E BENEFÍCIOS — MOEDA DO DIA DO PAGAMENTO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Em casos idênticos ao presente os recursos extraordinários foram conhecidos e providos, parcialmente, face a divergência com o aresto do Tribunal de Justiça do Estado de Santa Catarina. - É a seguinte a ementa do acórdão do RE 105.137, julgado por esta Turma, que firmou a orientação da nossa jurisprudência: &lt;&lt;A moeda do pagamento das contribuições e dos benefícios da previdência privada tem o seu valor definido pela Lei 6.435/77, segundo os índices das ORTNs, para todas as partes. - Não há direito adquirido a um determinado padrão monetário pretérito, seja ele o mil réis, o cruzeiro velho ou a indexação pelo salário mínimo. - O pagamento se fará sempre pela moeda definida pela lei do dia do pagamento. RE conhecido e parcialmente provido.&gt;&gt; - Em face do exposto, louvando-me no entendimento do Tribunal, conheço do recurso e lhe dou provimento parcial. Ac. de 17-03-1987 Arquivo do STF - DF 10-04-87 - Ementário nº 1.456-3 Arquivo do EMFOR, STF/92 EMFOR 472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Inexiste direito adquirido a um determinado padrão monetário pretérito, seja ele o mil réis, o cruzeiro velho ou a indexação pelo salário mínimo. - O pagamento se fará sempre pela moeda definida pela Lei do dia do pagamento. - Orientação jurisprudencial firmada a partir do julgamento do RE 105.137-0.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2026-07-27T23:43:57.550Z</dcterms:created>
  <dcterms:modified xsi:type="dcterms:W3CDTF">2026-07-27T23:43:57.550Z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