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CONTRATO DE ABERTURA DE CRÉDITO</w:t>
      </w:r>
    </w:p>
    <w:p/>
    <w:p/>
    <w:p>
      <w:r>
        <w:t xml:space="preserve">LEGISLAÇÃO REGULADORA — ALTERA</w:t>
      </w:r>
    </w:p>
    <w:p/>
    <w:p>
      <w:pPr>
        <w:pStyle w:val="Heading2"/>
      </w:pPr>
      <w:r>
        <w:rPr>
          <w:b/>
          <w:bCs/>
        </w:rPr>
        <w:t xml:space="preserve">Ementa</w:t>
      </w:r>
    </w:p>
    <w:p>
      <w:r>
        <w:t xml:space="preserve">LEI Nº 8.748, DE 09 DE DEZEMBRO DE 1993 Altera a legislação reguladora do processo administrativo de determinação e exigência de créditos tributários da união, e dá outras providências. O PRESIDENTE DA REPÚBLICA Faço saber que o Congresso Nacional decreta e eu sanciono a seguinte lei: Art. 1º Os dispositivos a seguir, do Decreto nº 70.235, de 6 de março de 1972, que, por delegação do Decreto-Lei nº 822, de 5 de setembro de 1969, regula o processo administrativo de determinação e exigência de créditos tributários da União, passam a vigorar com a seguinte redação: "Art. 9º A exigência de crédito tributário, a retificação de prejuízo fiscal e a aplicação de penalidade isolada serão formalizadas em autos de infração ou notificações de lançamento, distintos para cada imposto, contribuição ou penalidade, os quais deverão estar instruídos com todos os termos, depoimentos, laudos e demais elementos de prova indispensáveis à comprovação do ilícito. § 1º Quando, na apuração dos fatos, for verificada a prática de infrações a dispositivos legais relativos a um imposto, que impliquem a exigência de outros impostos da mesma natureza ou de contribuições, e a comprovação dos ilícitos depender dos mesmos elementos de prova, as exigências relativas ao mesmo sujeito passivo serão objeto de um só processo, contendo todas as notificações de lançamento e autos de infração. § 2º Os procedimentos de que tratam este artigo e o art. 7º serão válidos, mesmo que formalizados por servidor competente de jurisdição diversa da do domicílio tributário do sujeito passivo. § 3º A formalização da exigência, nos termos do parágrafo anterior, previne a jurisdição e prorroga a competência da autoridade que dela primeiro conhecer. Art. 15. ....................... Parágrafo único. Na hipótese de devolução do prazo para impugnação do agravamento da exigência inicial, decorrente de decisão de primeira instância, o p razo para apresentação de nova impugnação, começará a fluir a partir da ciência dessa decisão. Art. 16. ....................... ......................... III - os motivos de fato e de direito em que se fundamenta, os pontos de discordância e as razões e provas que possuir; IV - as diligências, ou perícias que o impugnante pretenda sejam efetuadas, expostos os motivos que as justifiquem, com a formulação dos quesitos referentes aos exames desejados, assim como, no caso de perícia, o nome, o endereço e a qualificação profissional do seu perito. § 1º Considerar-se-á não formulado o pedido de diligência ou perícia que deixar de atender aos requisitos previstos no inciso IV do art. 16. § 2º É defeso ao impugnante, ou a seu representante legal, empregar expressões injuriosas nos escritos apresentados no processo, cabendo ao julgador, de ofício ou a requerimento do ofendido, mandar riscá-las. § 3º Quando o impugnante alegar direito municipal, estadual ou estrangeiro, provar-lhe-á o teor e a vigência, se assim o determinar o julgador. Art. 17. Considerar-se-á não impugnada a matéria que não tenha sido expressamente contestada pelo impugnante, admitindo-se a juntada de prova documental durante a tramitação do processo, até a fase de interposição de recurso voluntário. Art. 18. A autoridade julgadora de primeira instância determinará, de ofício ou a requerimento do impugnante, a realização de diligências ou perícias, quando entendê-las necessárias, indeferindo as que considerar prescindíveis ou impraticáveis, observando o disposto no art. 28, in fine. § 1º Deferido o pedido de perícia, ou determinada de ofício, sua realização, a autoridade designará servidor para, como perito da União, a ela proceder e intimará o perito do sujeito passivo a realizar o exame requerido, cabendo a ambos apresentar os respectivos laudos em prazo que será fixado segundo o grau de complexidade dos trabalhos a serem executados. § 2º O s prazos para realização de diligência ou perícia poderão ser prorrogados, a juízo da autoridade. § 3º Quando, em exames posteriores, diligências ou perícias, realizados no curso do processo, forem verificadas incorreções, omissões ou inexatidões de que resultem agravamento da exigência inicial, inovação ou alteração da fundamentação legal da exigência, será lavrado auto de infração ou emitida notificação de lançamento complementar, devolvendo-se, ao sujeito passivo, prazo para impugnação no concernente à matéria modificada. Art. 20. No âmbito da Secretaria da Receita Federal, a designação de servidor para proceder aos exames relativos a diligências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2026-07-28T04:12:52.227Z</dcterms:created>
  <dcterms:modified xsi:type="dcterms:W3CDTF">2026-07-28T04:12:52.227Z</dcterms:modified>
</cp:coreProperties>
</file>

<file path=docProps/custom.xml><?xml version="1.0" encoding="utf-8"?>
<Properties xmlns="http://schemas.openxmlformats.org/officeDocument/2006/custom-properties" xmlns:vt="http://schemas.openxmlformats.org/officeDocument/2006/docPropsVTypes"/>
</file>