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/>
    <w:p>
      <w:r>
        <w:t xml:space="preserve">CONVERSÃO NESTA — INADMISSIBILIDADE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Cumpre ressaltar que a área de incidência do preceito invocado pela apelante - art. 250 do CPC - verifica-se dentro do processo e não fora dele, não servindo, portanto, para adaptar-se um tipo de processo a outro, mas para adaptação dentro do mesmo tipo de processo, quanto à sua forma. - A apelante ajuizou processo de execução quando o pedido só comportaria processo de cognição. - No caso sob análise, não se trata de conversão de um procedimento em outro, sim da pretensão da autora. A conversão de um processo em outro é inaceitável, só se admitindo a de um procedimento em outro da mesma espécie de processo, seja ele de cognição, de execução, ou cautelar. - Admitir-se a conversão de um processo de execução em processo de conhecimento seria permitir a modificação do pedido do autor. - Ante estes fundamentos, negou-se provimento ao recurso de apelação, mantida a sentença apelada. Ac. de 17-09-1994 Arquivo do EMFOR - TJ/2.523 EMFOR 557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Inadmissibilidade da conversão de execução em ação ordinária de cobrança, por se tratar de processos diversos.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2026-09-11T02:08:32.751Z</dcterms:created>
  <dcterms:modified xsi:type="dcterms:W3CDTF">2026-09-11T02:08:32.751Z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