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Julgado em: </w:t>
      </w:r>
      <w:r>
        <w:t xml:space="preserve">11/08/1986</w:t>
      </w:r>
    </w:p>
    <w:p/>
    <w:p>
      <w:r>
        <w:t xml:space="preserve">INTERVENÇÃO DO EMITENTE EM PROCESSO CONTRA ELE MOVIDO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princípios da autonomia e independência do aval são consagrados no art. 32 da Lei uniforme ao estabelecer que permanece a obrigação do avalista, mesmo no caso de a obrigação que ele garantiu ser nula por qualquer razão que não seja um vício de forma. - Daí resulta que o avalista não pode invocar contra o portador do título exceção pessoal que poderia ser argüida pelo avalizado com base na eventual relação causal, e sua obrigação é mantida ainda no caso de a obrigação do avalizado ser nula, anulável ou falsa, pois tais defeitos jurídicos não influem em sua responsabilidade (Direito Cambiário - LUIZ EMYDIO DA ROSA JR.). - Não pode o avalista, assim, invocar em execução que lhe é movida pelo portador do título, senão direito próprio em sua defesa, como já está consagrado na jurisprudência. - Não tem, portanto, o avalizado, interesse jurídico na execução dirigida contra o avalista, senão interesse econômico, posto poder recuperar o segundo aquilo que pagou ao primeiro. Julgado em 12-08-1986 Arquivo do EMFOR, TA/768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Encerrando o aval obrigação formal e autônoma, não é dado ao emitente da nota promissória o direito de intervir no processo de execução movido contra o avalista e por ele embargada, na qualidade de assistente do mesmo, por lhe faltar interesse jurídico na solução da demanda.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2026-07-28T02:01:54.685Z</dcterms:created>
  <dcterms:modified xsi:type="dcterms:W3CDTF">2026-07-28T02:01:54.685Z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