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PROCESSO DE EXECUÇÃO</w:t>
      </w:r>
    </w:p>
    <w:p>
      <w:r>
        <w:rPr>
          <w:i/>
          <w:iCs/>
          <w:color w:val="666666"/>
        </w:rPr>
        <w:t xml:space="preserve">CONTRATO DE ABERTURA DE CRÉDITO</w:t>
      </w:r>
    </w:p>
    <w:p/>
    <w:p/>
    <w:p>
      <w:r>
        <w:t xml:space="preserve">RECEBIMENTO COMO EMBARGOS DO EXECUTADO — INADMISSIBILIDADE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Não se trata de mero formalismo, o não recebimento de contestação como embargos. É que toda a estrutura do processo de execução, com regras básicas como a dos fatos oferecidos à impugnação especificada e a distribuição dos ônus da prova, ficam conturbados com a aceitação da peça írrita. - Reconhecendo-se, embora, a boa intenção do Juízo em tentar a salvação da defesa, não se tem, contudo, por subsistente a decisão recorrida. Ac. de 15-09-1993 Revista dos Tribunais - Maio de 1994 - Vol. 703 - Pág. 101 EMFOR 560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mais que sabido que os embargos do executado são ação incidental, não contestação. E sendo uma ação, precisam vir na forma de petição inicial, estabelecida pelo art. 282 do CPC com causa de pedir, pedido e valor da causa.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2026-07-28T04:15:40.573Z</dcterms:created>
  <dcterms:modified xsi:type="dcterms:W3CDTF">2026-07-28T04:15:40.573Z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