
<file path=[Content_Types].xml><?xml version="1.0" encoding="utf-8"?>
<Types xmlns="http://schemas.openxmlformats.org/package/2006/content-types">
  <Default ContentType="image/png" Extension="png"/>
  <Default ContentType="image/jpeg" Extension="jpeg"/>
  <Default ContentType="image/jpeg" Extension="jpg"/>
  <Default ContentType="image/bmp" Extension="bmp"/>
  <Default ContentType="image/gif" Extension="gif"/>
  <Default ContentType="image/svg+xml" Extension="svg"/>
  <Default ContentType="application/vnd.openxmlformats-package.relationships+xml" Extension="rels"/>
  <Default ContentType="application/xml" Extension="xml"/>
  <Default ContentType="application/vnd.openxmlformats-officedocument.obfuscatedFont" Extension="odttf"/>
  <Override ContentType="application/vnd.openxmlformats-officedocument.wordprocessingml.document.main+xml" PartName="/word/document.xml"/>
  <Override ContentType="application/vnd.openxmlformats-officedocument.wordprocessingml.styles+xml" PartName="/word/styles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extended-properties+xml" PartName="/docProps/app.xml"/>
  <Override ContentType="application/vnd.openxmlformats-officedocument.wordprocessingml.numbering+xml" PartName="/word/numbering.xml"/>
  <Override ContentType="application/vnd.openxmlformats-officedocument.wordprocessingml.footnotes+xml" PartName="/word/footnotes.xml"/>
  <Override ContentType="application/vnd.openxmlformats-officedocument.wordprocessingml.endnotes+xml" PartName="/word/endnotes.xml"/>
  <Override ContentType="application/vnd.openxmlformats-officedocument.wordprocessingml.settings+xml" PartName="/word/settings.xml"/>
  <Override ContentType="application/vnd.openxmlformats-officedocument.wordprocessingml.comments+xml" PartName="/word/comments.xml"/>
  <Override ContentType="application/vnd.openxmlformats-officedocument.wordprocessingml.fontTable+xml" PartName="/word/fontTable.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p14">
  <w:body>
    <w:p>
      <w:r>
        <w:rPr>
          <w:b/>
          <w:bCs/>
          <w:color w:val="F40009"/>
          <w:sz w:val="18"/>
          <w:szCs w:val="18"/>
        </w:rPr>
        <w:t xml:space="preserve">EMFOR · CIVEL</w:t>
      </w:r>
    </w:p>
    <w:p>
      <w:pPr>
        <w:pStyle w:val="Title"/>
      </w:pPr>
      <w:r>
        <w:rPr>
          <w:b/>
          <w:bCs/>
        </w:rPr>
        <w:t xml:space="preserve">PROCESSO DE EXECUÇÃO</w:t>
      </w:r>
    </w:p>
    <w:p>
      <w:r>
        <w:rPr>
          <w:i/>
          <w:iCs/>
          <w:color w:val="666666"/>
        </w:rPr>
        <w:t xml:space="preserve">CONTRATO DE ABERTURA DE CRÉDITO</w:t>
      </w:r>
    </w:p>
    <w:p/>
    <w:p/>
    <w:p>
      <w:r>
        <w:t xml:space="preserve">AUSÊNCIA DE INDICAÇÃO DE DISPOSITIVO CONSTITUCIONAL OU LEGAL APLICÁVEL — IRRELEVÂNCIA</w:t>
      </w:r>
    </w:p>
    <w:p/>
    <w:p>
      <w:pPr>
        <w:pStyle w:val="Heading2"/>
      </w:pPr>
      <w:r>
        <w:rPr>
          <w:b/>
          <w:bCs/>
        </w:rPr>
        <w:t xml:space="preserve">Resumo</w:t>
      </w:r>
    </w:p>
    <w:p>
      <w:r>
        <w:t xml:space="preserve">- No mérito, por outro lado, também não procede a pretensão recursal. Afinal, o apelante afirma que os cálculos do credor estão incorretos mas não esclarece por quê. Assevera, depois, que o salário utilizado está errado mas não diz, igualmente, por quê. - Ora, alegar, sem fundamentar ou sem demonstrar é o mesmo, no fundo, que não alegar, de vez que o julgador fica sem parâmetros para examinar a alegação, não se lhe podendo exigir, por óbvio, que dispare argumentos em todas as direções na vã tentativa de, às cegas, eventualmente atingir o ponto visado pelo recorrente. - Quanto à incidência, neste caso, do art. 58 do ADCT, isto é, no que tange à atualização dos atrasados pelo método da equivalência salarial, omitido na sentença condenatória que serve de lastro à execução, é bem de ver que semelhante omissão não possui o alcance que lhe é atribuído pelo apelante, o qual, mais uma vez, não tem razão. - É que referido critério só não poderia ser empregado se o título executivo judicial o tivesse excluído expressamente ou se, em seu lugar, tivesse adotado outro critério, com ele incompatível. Não é isto, todavia, o que se verifica aqui, onde se alude reiteradamente a simples omissão, nada mais (f.). - Ora, o fato de a sentença haver omitido qualquer referência ao art. 58 do ADCT evidentemente não impede seu emprego nos cálculos hostilizados; por isso que tal circunstância não tem o condão - é curial -, de obstar a incidência do mencionado preceito constitucional. - E como a atividade liquidatória (desenvolvida agora exclusivamente pelo credor ao propor a ação de execução) tem por objeto, precisamente, a complementação ou a integração do provimento jurisdicional genérico que serve de base à atividade executória, nada mais natural que, no tocante à atualização dos atrasados, a omissão da sentença reste eliminada ou suprida pela incidência pura e simples da norma legal aplicável à espécie. - É que, tendo início o benefício em 21.10.1988 - como se vê pelos cálculos do próprio apelante (f.), que neste ponto coincidem com os do apelado (f.) -, a equivalência salarial plena prevista no art. 58 do ADCT tem inteira aplicação à espécie no período compreendido entre abril de 1989 e dezembro de 1991, de conformidade com maciça orientação jurisprudencial desta Corte e, em particular, desta C. Câmara, na senda da Súm. 26 deste E. Tribunal. Ac. de 27-08-1996 Arquivo do EMFOR 327/738592 EMFOR 592</w:t>
      </w:r>
    </w:p>
    <w:p/>
    <w:p>
      <w:pPr>
        <w:pStyle w:val="Heading2"/>
      </w:pPr>
      <w:r>
        <w:rPr>
          <w:b/>
          <w:bCs/>
        </w:rPr>
        <w:t xml:space="preserve">Ementa</w:t>
      </w:r>
    </w:p>
    <w:p>
      <w:r>
        <w:t xml:space="preserve">A circunstância de o título executivo judicial silenciar a respeito de dispositivo constitucional (art. 58 do ADCT) ou legal aplicável à hipótese em julgamento não impede sua incidência no âmbito da concreção da norma, nem obsta, conseqüentemente, o seu emprego na atualização dos atrasados do benefício acidentário devido ao exeqüente.</w:t>
      </w:r>
    </w:p>
    <w:sectPr>
      <w:pgSz w:w="11906" w:h="16838" w:orient="portrait"/>
      <w:pgMar w:top="1440" w:right="1440" w:bottom="1440" w:left="1440" w:header="708" w:footer="708" w:gutter="0"/>
      <w:pgNumType/>
      <w:docGrid w:linePitch="360"/>
    </w:sectPr>
  </w:body>
</w:document>
</file>

<file path=word/comments.xml><?xml version="1.0" encoding="utf-8"?>
<w:comments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/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>
      <w:pPr>
        <w:spacing w:after="0" w:line="240" w:lineRule="auto"/>
      </w:pPr>
      <w:r>
        <w:rPr>
          <w:rStyle w:val="EndnoteReference"/>
        </w:rPr>
        <w:endnoteRef/>
      </w:r>
      <w:r>
        <w:separator/>
      </w:r>
    </w:p>
  </w:endnote>
  <w:endnote w:type="continuationSeparator" w:id="0">
    <w:p>
      <w:pPr>
        <w:spacing w:after="0" w:line="240" w:lineRule="auto"/>
      </w:pPr>
      <w:r>
        <w:rPr>
          <w:rStyle w:val="EndnoteReference"/>
        </w:rPr>
        <w:endnoteRef/>
      </w: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>
      <w:pPr>
        <w:spacing w:after="0" w:line="240" w:lineRule="auto"/>
      </w:pPr>
      <w:r>
        <w:rPr>
          <w:rStyle w:val="FootnoteReference"/>
        </w:rPr>
        <w:footnoteRef/>
      </w:r>
      <w:r>
        <w:separator/>
      </w:r>
    </w:p>
  </w:footnote>
  <w:footnote w:type="continuationSeparator" w:id="0">
    <w:p>
      <w:pPr>
        <w:spacing w:after="0" w:line="240" w:lineRule="auto"/>
      </w:pPr>
      <w:r>
        <w:rPr>
          <w:rStyle w:val="FootnoteReference"/>
        </w:rPr>
        <w:footnoteRef/>
      </w: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1" w15:restartNumberingAfterBreak="0">
    <w:multiLevelType w:val="hybridMultilevel"/>
    <w:lvl w:ilvl="0" w15:tentative="1">
      <w:start w:val="1"/>
      <w:numFmt w:val="bullet"/>
      <w:lvlText w:val="●"/>
      <w:lvlJc w:val="left"/>
      <w:pPr>
        <w:ind w:left="720" w:hanging="360"/>
      </w:pPr>
    </w:lvl>
    <w:lvl w:ilvl="1" w15:tentative="1">
      <w:start w:val="1"/>
      <w:numFmt w:val="bullet"/>
      <w:lvlText w:val="○"/>
      <w:lvlJc w:val="left"/>
      <w:pPr>
        <w:ind w:left="1440" w:hanging="360"/>
      </w:pPr>
    </w:lvl>
    <w:lvl w:ilvl="2" w15:tentative="1">
      <w:start w:val="1"/>
      <w:numFmt w:val="bullet"/>
      <w:lvlText w:val="■"/>
      <w:lvlJc w:val="left"/>
      <w:pPr>
        <w:ind w:left="2160" w:hanging="360"/>
      </w:pPr>
    </w:lvl>
    <w:lvl w:ilvl="3" w15:tentative="1">
      <w:start w:val="1"/>
      <w:numFmt w:val="bullet"/>
      <w:lvlText w:val="●"/>
      <w:lvlJc w:val="left"/>
      <w:pPr>
        <w:ind w:left="2880" w:hanging="360"/>
      </w:pPr>
    </w:lvl>
    <w:lvl w:ilvl="4" w15:tentative="1">
      <w:start w:val="1"/>
      <w:numFmt w:val="bullet"/>
      <w:lvlText w:val="○"/>
      <w:lvlJc w:val="left"/>
      <w:pPr>
        <w:ind w:left="3600" w:hanging="360"/>
      </w:pPr>
    </w:lvl>
    <w:lvl w:ilvl="5" w15:tentative="1">
      <w:start w:val="1"/>
      <w:numFmt w:val="bullet"/>
      <w:lvlText w:val="■"/>
      <w:lvlJc w:val="left"/>
      <w:pPr>
        <w:ind w:left="4320" w:hanging="360"/>
      </w:pPr>
    </w:lvl>
    <w:lvl w:ilvl="6" w15:tentative="1">
      <w:start w:val="1"/>
      <w:numFmt w:val="bullet"/>
      <w:lvlText w:val="●"/>
      <w:lvlJc w:val="left"/>
      <w:pPr>
        <w:ind w:left="5040" w:hanging="360"/>
      </w:pPr>
    </w:lvl>
    <w:lvl w:ilvl="7" w15:tentative="1">
      <w:start w:val="1"/>
      <w:numFmt w:val="bullet"/>
      <w:lvlText w:val="●"/>
      <w:lvlJc w:val="left"/>
      <w:pPr>
        <w:ind w:left="5760" w:hanging="360"/>
      </w:pPr>
    </w:lvl>
    <w:lvl w:ilvl="8" w15:tentative="1">
      <w:start w:val="1"/>
      <w:numFmt w:val="bullet"/>
      <w:lvlText w:val="●"/>
      <w:lvlJc w:val="left"/>
      <w:pPr>
        <w:ind w:left="6480" w:hanging="360"/>
      </w:pPr>
    </w:lvl>
  </w:abstractNum>
  <w:num w:numId="1">
    <w:abstractNumId w:val="1"/>
    <w:lvlOverride w:ilvl="0">
      <w:startOverride w:val="1"/>
    </w:lvlOverride>
  </w:num>
</w:numbering>
</file>

<file path=word/settings.xml><?xml version="1.0" encoding="utf-8"?>
<w:setting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isplayBackgroundShape/>
  <w:evenAndOddHeaders w:val="false"/>
  <w:compat>
    <w:compatSetting w:val="15" w:name="compatibilityMode" w:uri="http://schemas.microsoft.com/office/word"/>
  </w:compat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/>
    <w:pPrDefault/>
  </w:docDefaults>
  <w:style w:type="paragraph" w:styleId="Title">
    <w:name w:val="Title"/>
    <w:basedOn w:val="Normal"/>
    <w:next w:val="Normal"/>
    <w:qFormat/>
    <w:rPr>
      <w:sz w:val="56"/>
      <w:szCs w:val="56"/>
    </w:rPr>
  </w:style>
  <w:style w:type="paragraph" w:styleId="Heading1">
    <w:name w:val="Heading 1"/>
    <w:basedOn w:val="Normal"/>
    <w:next w:val="Normal"/>
    <w:qFormat/>
    <w:rPr>
      <w:color w:val="2E74B5"/>
      <w:sz w:val="32"/>
      <w:szCs w:val="32"/>
    </w:rPr>
  </w:style>
  <w:style w:type="paragraph" w:styleId="Heading2">
    <w:name w:val="Heading 2"/>
    <w:basedOn w:val="Normal"/>
    <w:next w:val="Normal"/>
    <w:qFormat/>
    <w:rPr>
      <w:color w:val="2E74B5"/>
      <w:sz w:val="26"/>
      <w:szCs w:val="26"/>
    </w:rPr>
  </w:style>
  <w:style w:type="paragraph" w:styleId="Heading3">
    <w:name w:val="Heading 3"/>
    <w:basedOn w:val="Normal"/>
    <w:next w:val="Normal"/>
    <w:qFormat/>
    <w:rPr>
      <w:color w:val="1F4D78"/>
      <w:sz w:val="24"/>
      <w:szCs w:val="24"/>
    </w:rPr>
  </w:style>
  <w:style w:type="paragraph" w:styleId="Heading4">
    <w:name w:val="Heading 4"/>
    <w:basedOn w:val="Normal"/>
    <w:next w:val="Normal"/>
    <w:qFormat/>
    <w:rPr>
      <w:i/>
      <w:iCs/>
      <w:color w:val="2E74B5"/>
    </w:rPr>
  </w:style>
  <w:style w:type="paragraph" w:styleId="Heading5">
    <w:name w:val="Heading 5"/>
    <w:basedOn w:val="Normal"/>
    <w:next w:val="Normal"/>
    <w:qFormat/>
    <w:rPr>
      <w:color w:val="2E74B5"/>
    </w:rPr>
  </w:style>
  <w:style w:type="paragraph" w:styleId="Heading6">
    <w:name w:val="Heading 6"/>
    <w:basedOn w:val="Normal"/>
    <w:next w:val="Normal"/>
    <w:qFormat/>
    <w:rPr>
      <w:color w:val="1F4D78"/>
    </w:rPr>
  </w:style>
  <w:style w:type="paragraph" w:styleId="Strong">
    <w:name w:val="Strong"/>
    <w:basedOn w:val="Normal"/>
    <w:next w:val="Normal"/>
    <w:qFormat/>
    <w:rPr>
      <w:b/>
      <w:bCs/>
    </w:rPr>
  </w:style>
  <w:style w:type="paragraph" w:styleId="ListParagraph">
    <w:name w:val="List Paragraph"/>
    <w:basedOn w:val="Normal"/>
    <w:qFormat/>
  </w:style>
  <w:style w:type="character" w:styleId="Hyperlink">
    <w:name w:val="Hyperlink"/>
    <w:basedOn w:val="DefaultParagraphFont"/>
    <w:uiPriority w:val="99"/>
    <w:unhideWhenUsed/>
    <w:rPr>
      <w:color w:val="0563C1"/>
      <w:u w:val="single"/>
    </w:rPr>
  </w:style>
  <w:style w:type="character" w:styleId="FootnoteReference">
    <w:name w:val="footnote reference"/>
    <w:basedOn w:val="DefaultParagraphFont"/>
    <w:uiPriority w:val="99"/>
    <w:semiHidden/>
    <w:unhideWhenUsed/>
    <w:rPr>
      <w:vertAlign w:val="superscript"/>
    </w:rPr>
  </w:style>
  <w:style w:type="paragraph" w:styleId="FootnoteText">
    <w:name w:val="footnote text"/>
    <w:basedOn w:val="Normal"/>
    <w:link w:val="Foot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FootnoteTextChar">
    <w:name w:val="Footnote Text Char"/>
    <w:basedOn w:val="DefaultParagraphFont"/>
    <w:link w:val="FootnoteText"/>
    <w:uiPriority w:val="99"/>
    <w:semiHidden/>
    <w:unhideWhenUsed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EndnoteTextChar">
    <w:name w:val="Endnote Text Char"/>
    <w:basedOn w:val="DefaultParagraphFont"/>
    <w:link w:val="EndnoteText"/>
    <w:uiPriority w:val="99"/>
    <w:semiHidden/>
    <w:unhideWhenUsed/>
    <w:rPr>
      <w:sz w:val="20"/>
      <w:szCs w:val="20"/>
    </w:rPr>
  </w:style>
</w:styles>
</file>

<file path=word/_rels/comments.xml.rels><?xml version="1.0" encoding="UTF-8"?><Relationships xmlns="http://schemas.openxmlformats.org/package/2006/relationships"/>
</file>

<file path=word/_rels/document.xml.rels><?xml version="1.0" encoding="UTF-8"?>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otnotes" Target="footnotes.xml"/><Relationship Id="rId4" Type="http://schemas.openxmlformats.org/officeDocument/2006/relationships/endnotes" Target="endnotes.xml"/><Relationship Id="rId5" Type="http://schemas.openxmlformats.org/officeDocument/2006/relationships/settings" Target="settings.xml"/><Relationship Id="rId6" Type="http://schemas.openxmlformats.org/officeDocument/2006/relationships/comments" Target="comments.xml"/><Relationship Id="rId7" Type="http://schemas.openxmlformats.org/officeDocument/2006/relationships/fontTable" Target="fontTable.xml"/></Relationships>
</file>

<file path=word/_rels/endnotes.xml.rels><?xml version="1.0" encoding="UTF-8"?><Relationships xmlns="http://schemas.openxmlformats.org/package/2006/relationships"/>
</file>

<file path=word/_rels/fontTable.xml.rels><?xml version="1.0" encoding="UTF-8"?><Relationships xmlns="http://schemas.openxmlformats.org/package/2006/relationships"/>
</file>

<file path=word/_rels/footnotes.xml.rels><?xml version="1.0" encoding="UTF-8"?><Relationships xmlns="http://schemas.openxmlformats.org/package/2006/relationships"/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Un-named</dc:creator>
  <cp:lastModifiedBy>Un-named</cp:lastModifiedBy>
  <cp:revision>1</cp:revision>
  <dcterms:created xsi:type="dcterms:W3CDTF">2026-09-11T02:14:33.697Z</dcterms:created>
  <dcterms:modified xsi:type="dcterms:W3CDTF">2026-09-11T02:14:33.697Z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