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Julgado em: </w:t>
      </w:r>
      <w:r>
        <w:t xml:space="preserve">07/05/1985</w:t>
      </w:r>
    </w:p>
    <w:p/>
    <w:p>
      <w:r>
        <w:t xml:space="preserve">DIREITO DO CESSIONÁRIO E DO PROMITENTE COMPRADOR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assiste razão à apelante. - As condições da ação acham-se satisfeitas, pelo que outro não poderia ser o desfecho da questão, senão acolher-se o pedido. - Os contratos de promessa de venda e de cessão foram devidamente averbados, estando os preços dos negócios jurídicos estabelecidos quitados na forma legal. - A questão de ilegitimidade de parte dos autores, por não terem providenciado a abertura do inventário do primitivo cedente torna-se irrelevante, sabido que se trata de simples compromisso de compra e venda, feito na conformidade do Decreto nº 58 de 1973, com a nova redação da Lei nº 6.014 de 1973. - Mesmo que assim não fosse, lícito era acolher-se a pretensão deduzida em juízo com respaldo nos arts. 641 e 639 do Código de Processo Civil, por se tratar de obrigação de fazer, de caráter meramente pessoal e sem ofensa aos arts. 264, 293 do mesmo diploma legal. - Mantém-se, pois, a sentença apelada por seus próprios fundamentos. Julgado em 08-05-1985 Arquivo do EMFOR, TA/745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cessionário, assim como o promitente comprador, têm legitimidade para propor ação de adjudicação compulsória contra o promitente vendedor de imóvel, desde que feita a averbação da cessão.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2026-09-10T22:09:49.620Z</dcterms:created>
  <dcterms:modified xsi:type="dcterms:W3CDTF">2026-09-10T22:09:49.620Z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