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INSTRUMENTO PARTICULAR</w:t>
      </w:r>
    </w:p>
    <w:p/>
    <w:p>
      <w:r>
        <w:rPr>
          <w:b/>
          <w:bCs/>
        </w:rPr>
        <w:t xml:space="preserve">Recurso: </w:t>
      </w:r>
      <w:r>
        <w:t xml:space="preserve">RE 49.545</w:t>
      </w:r>
    </w:p>
    <w:p/>
    <w:p>
      <w:r>
        <w:t xml:space="preserve">CONTRATO SUJEITO AO REGIME DO DECRETO-LEI Nº 58 — INADMISSIBILIDADE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inadmissível o arrependimento no compromisso de compra e venda sujeito ao regime do Dec.-Lei nº 58, de 10.12.37. Referência: - Dec.-Lei citado, art. 15. RE 49.545, de 17.04.62. Aprovada em Sessão de 13-12-1963 - pág. 89 EMFOR 193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2026-09-11T00:11:53.762Z</dcterms:created>
  <dcterms:modified xsi:type="dcterms:W3CDTF">2026-09-11T00:11:53.762Z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