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30-</w:t>
      </w:r>
    </w:p>
    <w:p/>
    <w:p>
      <w:r>
        <w:t xml:space="preserve">CLÁUSULA DE INALIENABILIDADE — QUANDO NÃO SE ANULA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compromisso de compra e venda foi regulado no Brasil, pela primeira vez, pelo Decreto-Lei n. 58, de 1937. A partir de então a doutrina passou a divergir a respeito da sua natureza jurídica: uma parte reputando-o contrato tipicamente preliminar de um negócio jurídico superveniente, gerando, portanto, mera obrigação de fazer, que. descumprida, seria convertida em perdas e danos; a outra, conceituando-o como contrato apto, por si só, a transferir o domínio, acarretando tanto obrigação de fazer quanto de dar e conferindo direito real em favor do compromissário-comprador. - A doutrina mais moderna, no entanto, conforme anota JOSÉ OSÓRIO DE AZEVEDO Jr., (Compromisso de Compra e Venda, 3ª ed., Malheiros, 1992, n. 6, págs. 24 e ss), liderada por ORLANDO GOMES, que, por sua vez se apóia em TRABUCCHI e MONTESANO, adota as duas posições, distinguindo dois tipos de contratos preliminares de compra-e-venda. O primeiro, também chamado de próprio, seria a simples promessa, preparativo de um segundo e que, por isso, faria nascer uma obrigação pessoal. O segundo, impróprio, irrevogável e irretratável, seria um contrato em formação, valeria por si, dispensaria a pactuação de outra obrigação e levaria ao surgimento do direito real antes referido. Imprescindível, portanto, a análise dos termos do contrato para incluí-lo em uma ou outra espécie, sendo de assinalar-se, "en passant", a extraordinária evolução pela qual o instituto tem passado nos últimos tempos em termos de execução coativa, ante a efetividade do processo civil contemporâneo, de que são exemplos a atual redação do art. 461, CPC, e a jurisprudência uníssona desta Corte, por sua 2ª Seção, a partir do REsp nº 30-DF, da relatoria do Ministro EDUARDO RIBEIRO (a propósito, dentre outros, HUMBERTO THEODORO JÚNIOR, "Ensaios Jurídicos" RJ, vol. 1, págs.77 e segs., 1996). - Partindo da situação fática delineada no acórdão recorrido, percebe-se, sem maiores dificuldades, que o contrato objeto dos autos, se incluiria na primeira espécie, ou seja, próprio. Foi prometida a venda de um imóvel gravado com cláusula de inalienabilidade, tendo os vendedores se comprometido a requerer a sub-rogação do vínculo. Cuida-se um contrato, portanto, sob condição, que, por isso mesmo, previa desfazimento do vínculo, inclusive com cláusula dispondo sobre a devolução do sinal. - Destarte, seja por seja se tratar de simples promessa, que conferiria somente direito pessoal, seja pela permissão de transferir o gravame que recaía sobre o bem (art. 1.677, CC) para outro, inexiste causa a ensejar a sua nulidade. Neste sentido, aresto do Supremo Tribunal Federal, no RE 80.074-GB (RTJ 73/959), de que foi relator o saudoso Ministro CORDEIRO GUERRA, assim ementado: "Promessa de Venda. Sua não resolução, se na escritura de promessa de compra e venda, a aquisição dos direitos prometidos alienar ficou condicionada à liberação do bem gravado. A lei proíbe a venda do bem inalienável, mas admite a promessa desse bem, desde que a aquisição do direito fique condicionada à liberação da coisa". - Com o mesmo entendimento, o REsp 10.020-SP (j. 9.9.96). desta Turma, de que foi relator o Sr. Ministro CESAR ASFOR ROCHA, capitaneado pela seguinte ementa: "Direito Civil. Art. 1767 do Código Civil. Cláusula de inalienabilidade. Promessa de compra e venda. Validade, pelas peculiaridades da espécie. A regra restritiva à propriedade encartada no art. 1.676 do Código Civil deve ser interpretada com temperamento, pois a sua finalidade foi a de preservar o patrimônio a que se dirige, para assegurar à entidade familiar, sobretudo aos pósteros, uma base econômica e financeira segura e duradoura. Todavia, não pode ser tão austeramente aplicada a ponto de se prestar a ser fator de lesividade de legítimos interesses, sobretudo quando o seu abrandamento decorre de real conveniência ou manifesta vantagem para quem ela visa proteger associado ao intuito de resguardar outros princípios que o sistema da legislação civil encerra, como se dá no caso em exame, pelas peculiaridades que lhe cercam". - A doutrina também não discrepa de tal posicionamento, de que é exemplo o magistério do citado AZEVEDO JR., inclusive comentando o julgado da Suprema Corte: "Trata-se de decisão de certo modo contrária à tese que vimos defendendo. Dizemos de certo modo, porque a ementa "supra" deixa claro que a promessa vale se na escritura a aquisição tiver ficado condicionada à liberação do gravame.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Segundo a moderna doutrina, a que se referem JOSÉ OSÓRIO AZEVEDO Jr. e ORLANDO GOMES, dentre outros, há duas modalidades de contratos preliminares de compra e venda: o próprio, que representa mera promessa, preparatório de um segundo, e o impróprio, contrato em formação que vale por si mesmo. II - Não é nulo o contrato preliminar de compra e venda que tem por objeto bem gravado com cláusula de inalienabilidade, por se trata de compromisso próprio, a prever desfazimento do negócio em caso de impossibilidade de sub-rogação do ônus.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2026-10-26T03:03:18.197Z</dcterms:created>
  <dcterms:modified xsi:type="dcterms:W3CDTF">2026-10-26T03:03:18.197Z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