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>
      <w:r>
        <w:rPr>
          <w:b/>
          <w:bCs/>
        </w:rPr>
        <w:t xml:space="preserve">Recurso: </w:t>
      </w:r>
      <w:r>
        <w:t xml:space="preserve">REsp 8.354-</w:t>
      </w:r>
    </w:p>
    <w:p/>
    <w:p>
      <w:r>
        <w:t xml:space="preserve">PERDAS DAS IMPORTÂNCIAS PAGAS — NATUREZA COMPENSATÓRIA - POSSIBILIDADE DE REDUÇÃO PROPORCIONAL DO VALOR COM BASE NO ART. 924 DO CÓDIGO CIVIL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"... No compromisso de compra e venda de imóvel a prestação, é nula a cláusula que impõe ao promitente-comprador a perda das prestações pagas, devendo estas ser devolvidas com correção." (fls. ...). - Por sua vez, traz a recorrente Aresto da Corte onde adotada orientação no sentido de que, em casos tais, é perfeitamente válida a pena convencional compensatória estipulando a perda das parcelas pagas, na hipótese de resolução do contrato, podendo o juiz reduzir seu valor, proporcionalmente, com base no art. 924, do Código Civil. - Examino-o, pois, em face do dissídio comprovado. - Cuida-se de inadimplemento de compromisso de compra e venda - promessa - firmado anteriormente ao advento da Lei nº 8.078/90. - Discute-se sobre a validade de cláusula penal compensatória na qual se estipulou perda das parcelas pagas em caso de resolução do contrato. - Com razão o recorrente. - Em precedentes da Turma, de minha relatoria, afirmei entendimento no sentido de afastar a incidência dos dispositivos do Código do Consumidor ao caso concreto. O só fato de se constituir em lei de ordem pública, na espécie, não trás em si o condão de desconstituir os atos jurídicos formalizados sob a égide de norma anterior, eis que sem conteúdo de aplicação imediata e intervencionista, força da suspensividade nela mesmo contida para vigência cento e oitenta dias após sua edição (art. 118, Lei 8.078/90). - Demais disso, impende considerar que ao suspender o prazo de sua vigência, teve o legislador como escopo permitir que se acomodassem as relações jurídicas subjacentes, firmadas em face do ordenamento jurídico pretérito, o qual, no caso, permitia a celebração do pacto como feito. - Por isso que, também, não se afigura leonina a cláusula, livremente convencionada, impondo a perda das importâncias pagas em caso de inadimplemento do promitente-comprador, tal como assente em precedentes julgados da Turma, como afirmado. Confira-se o REsp nº 8.354-SP, de que Relator o Senhor Ministro Nilson Naves resumido por sua ementa: "Compromisso de compra e venda. Cláusula penal compensatória. Revisão judicial. A cláusula contratual que prevê a perda das importâncias pagas, no caso de inadimplemento dos promitentes-compradores, tem caráter de cláusula penal compensatória, podendo o juiz, rescindido o contrato, reduzi-la proporcionalmente. Art. 924 do Código Civil. Recurso Especial conhecido em parte pelo dissídio e assim provido." - E, na mesma linha de entendimento o REsp nº 12.074-SP, Relator o Senhor Ministro Eduardo Ribeiro: "A cláusula que prevê não tenha direito o promitente-comprador à devolução das importâncias pagas deve considerar-se co-mo de natureza penal, compensatória, podendo ser reduzido seu valor com base no artigo 924 do Código Civil." - Pactuaram as partes o pagamento do imóvel da seguinte forma, como anotado na r. sentença (fls. ...): "1) Parcelas fixas e irreajustáveis a) Uma (1) parcela de Cr$ 64.000,00 (Sessenta e Quatro Mil Cruzeiros) a título de sinal; b) Uma (1) parcela (s) mensal (is) de Cr$ 76.000,00 (Setenta e Seis Mil Cruzeiros), vencendo em 30/05/90; 2) Parcelas reajustáveis de acordo com o índice pactuado a) Dezessete (17) parcela (s) mensal (is) de Cr$ 48.000,00 (Quarenta e Oito Mil Cruzeiros), vencendo-se a primeira em 10/06/90; b) Uma (1) parcela (s) mensal (is) de Cr$ 286.000,00 (Duzentos e Oitenta e Seis Mil Cruzeiros), vencendo em 10/01/91; c) Duas (2) parcela (s) quadrimestral (is) de Cr$ 420.000,00 (Quatrocentos e Vinte Mil Cruzeiros), vencendo-se a primeira em 10/05/91; d) O saldo restante de Cr$ 1.570.000,00 (Hum Milhão Quinhentos e Setenta Mil Cruzeiros) a serem financiados em 10/10/91, pelo S.F.H./Encol." - Consignou-se, ainda, na decisão de primeiro grau que a ora recorrida exibe demonstrativo dos pagamentos efetuados desde 31.5.90 até 16.7.91, "... e chegada a fase de financiamento, alega ter ficado impossibilitada de fazê-lo, por razões alheias à sua vontade..." (fls. ...). - Ora o Acórdão, ao decidir como feito, discrepou do entendimento uniforme da Turma. Sobreleva anotar que a recorrida tendo pago uma soma considerável das prestações referentes ao valor avençado do imóvel, deduz-se que o contrato foi cumprido quase em sua totalidade. - Dessa forma, a multa compensatória consistente na perda, pelo promitente-comprador, de tudo quanto pagou ao vendedor, deve ser reduzida na proporção das prestações pagas, conforme iterativamente tem decidido a Corte. - Considerando, contudo, que não houve a entrega do bem imóvel e que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compromisso de compra e venda, existindo cláusula que prevê não tenha direito o promitente-comprador à devolução das importâncias pagas, tal cláusula deve ser considerada como de natureza penal compensatória, podendo ser reduzido o seu valor com base no artigo 924 do Código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2026-09-10T22:10:01.802Z</dcterms:created>
  <dcterms:modified xsi:type="dcterms:W3CDTF">2026-09-10T22:10:01.802Z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