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40.983</w:t>
      </w:r>
    </w:p>
    <w:p/>
    <w:p>
      <w:r>
        <w:t xml:space="preserve">SE PODE SER FEITA NO CURSO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equivocado o entendimento da sentença de que o compromisso de compra e venda de imóvel não loteado exige escritura pública. Não há, ainda, nesse contrato a transferência de domínio. A promessa de venda de imóvel, mesmo não loteado, pode ser celebrada por instrumento particular. - No documento ..., embora designado como recibo, há manifestação da vontade de venda, indicação dos imóveis e quitação do preço, com a promessa de outorga da escritura pública, quando solicitada. - Inexiste, portanto, a suposta deficiência formal a impedir o exercício da ação dos arts. 639 e 640 do CPC, que não se confunda com a de adjudicação compulsória, de rito sumaríssimo, para o qual é exigido o próprio registro do instrumento contratual. - O pedido é juridicamente possível, como se reconhece. - Recomenda-se, porém, a exigência de certidão do registro imobiliário sobre a situação dos lotes prometidos à venda. Ac. de 01-10-1991 Arquivo do EMFOR - TJ/2.440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os efeitos do Dec.-Lei nº 58, de 10.12.37, admite-se a inscrição imobiliária do compromisso de compra e venda no curso da ação. Referência: - Dec.-Lei citado, artigo 23. RE 40.983, de 08.01.62; AG 25.346, de 25.07.61; EA 25.346, de 04.12.61. Aprovada em Sessão de 13-12-1963 - pág. 90 EMFOR 193 EMENTA: - A promessa de venda do imóvel, mesmo não loteado, pode ser celebrada por instrumento particular. Possibilidade jurídica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2026-09-10T23:10:55.939Z</dcterms:created>
  <dcterms:modified xsi:type="dcterms:W3CDTF">2026-09-10T23:10:55.939Z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