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Apelação Cível 94.242-2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ROBERTO RODRIGUES</w:t>
      </w:r>
    </w:p>
    <w:p/>
    <w:p>
      <w:r>
        <w:t xml:space="preserve">INTERPELAÇÃO JUDICIAL — CITAÇÃO - FALTA - EXTINÇÃO DO PROCESSO SEM JULGAMENTO DO MÉRITO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Tanto o art. 14, do Decreto-lei 58, de 10.12.1937, como o art. 1º do Decreto-lei 745, de 7.8.1969, estabelecem que, para rescisão dos contratos de compromisso de compra e venda, é condição indispensável a prévia intimação do devedor, para que seja o mesmo constituído em mora. - Decisões reiteradas dos Tribunais confirmam a necessidade da intimação, valendo destacar as ementas que se seguem: "Compromisso de Compra e Venda. Constituição em Mora - Falta de Registro da Promessa que Não Torna Dispensável Prévia Interpelação do Devedor - Inteligência do Dec.-Lei 745/69". (Apelação Cível nº 94.242-2 - ac. unân. da 18ª CÂMARA Cível do Tribunal de Justiça do Estado de São Paulo, em 30.12.85. Rel. Des. ROBERTO RODRIGUES, in RJTJESP nº 9, pág. 69). "Compromisso de Compra e Venda. Rescisão - Mora - Notificação Prévia Necessidade - Dec.-Lei Fed. nº 745, de 1969 - Irrelevância de Tratar-se de Contrato com Cláusula - Resolutória e Não Registrado. Carência Decretada - Recurso Provido." (STJ - ac. unân. da 3ª Turma, em 28.6.91. Rec. Esp. nº 9.836 - SP. Rel. Ministro EDUARDO RIBEIRO, in RT 676, pág. 200). - Em verdade, não foi efetuada a citação, na interpelação judicial anexa aos presentes autos, uma vez que, tendo sido certificado, a ..., estar o réu em local incerto e não sabido, caberia ao autor, ora apelante, ao contrário do que pretende em suas razões (...), providenciar para que a citação se fizesse, mediante edital. - Tendo os diplomas legais citados instituído condição específica para a propositur a de ação rescisória de contrato de compromisso de compra e venda, qual seja a intimação prévia do promitente comprador em débito, para que este se constitua em mora, fica vedada a apreciação do mérito da causa. - Cabe, portanto, decretar a extinção do processo, não pelo fundamento apontado pela MM. Juíza, mas, com base no inciso VI do art. 267, do CPC, por falta de uma das condições da ação - a impossibilidade jurídica do pedido. Ac. de 07-11-1995 Arquivo do EMFOR - TJ/2.613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exigência constante dos decretos-leis 58, de 10.12.1937, e 745, de 7.8.69, que a mora em contrato de promessa de compra e venda seja constituída através de prévia intimação do devedor e, não sendo este citado na interpelação judicial ajuizada para tal fim, há de ser extinta, sem julgamento de mérito, a ação de rescisão de contrato posteriormente proposta.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2026-06-17T14:04:59.788Z</dcterms:created>
  <dcterms:modified xsi:type="dcterms:W3CDTF">2026-06-17T14:04:59.788Z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