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87.963/</w:t>
      </w:r>
    </w:p>
    <w:p/>
    <w:p>
      <w:r>
        <w:t xml:space="preserve">OBRIGAÇÃO EXPRESSA EM ORTNs — COMO SE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mostra razoável em absoluto, a interpretação dada ao art. 1º do Dec.-lei nº 745/69, pelo v. acórdão recorrido mas, antes, nega-lhe vigência. - Com efeito, como já salientou esse colendo Supremo Tribunal, em diversos julgados, o que a lei objetiva, no caso, o Decreto-lei nº 745/69, é despertar a atenção do inadimplente, dando-lhe prazo para o cumprimento da obrigação, sem qualquer exigência expressa, ou, ainda, nas palavras do eminente ministro CUNHA PEIXOTO, no julgamento do RE 87.963/SP, verbis: "O legislador com o Dec.-lei nº 745/69, visou evitar fossem os compromissários compradores surpreendidos com as cobranças imediatas: desejou adverti-los da necessidade de cumprimento de sua obrigação, dando-lhe um prazo razoável para que o façam, e se a advertência fora feita e o prazo concedido, cumprida está a lei" (RTJ. 94/2298). - Ora, na hipótese dos autos, o promissário comprador foi regularmente interpelado e no prazo legal, ajuizou consignação em pagamento, que foi julgada improcedente, porém, por insuficiência do depósito (autos apensos), sendo absolutamente irrelevante, para a sua constituição em mora, de que cogita o art. 1º do Decreto-lei nº 745/69, que a obrigação esteja expressa em cruzeiros ou em ORTNs, pois que essa circunstância resulta de convenção aceita por ambas as partes e que não pode ademais, ser declarada ilícita. VENCIDOS OS MINISTROS RAFAEL MAYER E OSCAR CORREA. Ac. de 18-12-1986 Revista Trimestral de Jurisprudência, Vol. 120 (Maio/87) - Pág, 785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irrelevante para a constituição em mora, que a obrigação esteja expressa em cruzeiros ou ORTNs, pois essa circunstância resulta de convenção aceita por ambas as partes.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2026-09-10T22:09:30.474Z</dcterms:created>
  <dcterms:modified xsi:type="dcterms:W3CDTF">2026-09-10T22:09:30.474Z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