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Recurso: </w:t>
      </w:r>
      <w:r>
        <w:t xml:space="preserve">REsp 15.706-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24/03/1997</w:t>
      </w:r>
    </w:p>
    <w:p/>
    <w:p>
      <w:r>
        <w:t xml:space="preserve">IMPUGNAÇÃO DA ASSINATURA APOSTA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Observo, de início, ser totalmente descabida, em sede de processo de despejo, a alegação de usucapião. E isto porque de duas, uma: ou o réu é efetivamente inquilino (e, portanto, não detém posse com ânimo de dono) ou não é inquilino (e, nesse caso, infundada é a pretensão do locador). - Observo, mais, que os recibos de quitação dos aluguéis ficam em poder do inquilino (aliás, representam a prova do pagamento) e não do locador, de modo algum sendo deste último, portanto, o ônus da apresentação de tais documentos em juízo. - Observo, por derradeiro, que a condição de locador não se confunde com a de proprietário do imóvel, daí ser impertinente a alegação de que o ora apelado não comprovou essa última condição. - Pondero, contudo, em prol da apelante, que muito embora ele continue a insistir, equivocadamente, em seu incidente "autônomo" de falsidade documental (uma das razões pela qual, aliás, foi improvido seu agravo), a verdade é que ele também impugnou a autenticidade da assinatura aposta no instrumento do contrato de locação. E conforme esclarece o eminente Min. Sálvio de Figueiredo Teixeira em seu Código de Processo Civil Anotado (nota ao art. 388, 6.a ed., São Paulo, Saraiva, 1996), a impugnação da assinatura aposta no documento (CPC, art. 388, I) não se confunde com a argüição de falsidade do próprio documento (arts. 387, I e II, e 388, II), razão pela qual, impugnada "a assinatura do documento particular, cessa-lhe a fé, independentemente de argüição de falsidade, cabendo o ônus da prova, nesse caso, à parte que a produziu durant e a instrução da causa" (REsp 15.706-SP, STJ, rel. Min. Nilson Naves, DJ de 13.04.1992, op. cit., p. 261). - Acolhido, assim, o fundamento recursal sob exame, fica provido o presente recurso, para o fim exclusivo de, cassada a r. sentença, proceder-se à perícia grafotécnica do instrumento do contrato de locação, objetivando a constatação, ou não, da falsidade da assinatura aposta no mesmo. E uma vez realizada a perícia, nova sentença deverá ser proferida, ficando ambas as partes cientes, é óbvio, das graves conseqüências legais decorrentes do resultado dessa prova pericial, qualquer que seja ele. - Observo, por fim, que o presente julgamento não afetará, por ora, o cumprimento da carta da sentença extraída em favor do apelado (a qual, ao que tudo, indica, já foi integralmente cumprida), cabendo à apelante aguardar o resultado do processo para, ao final, sendo eventualmente a vencedora, reclamar a adoção de toda as medidas cabíveis. - Ante o exposto, dou provimento ao recurso, com observação. Julgado em 25-03-1997 Revista dos Tribunais, Julho de 1997, vol. 741, pág. 316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impugnação da assinatura aposta no documento (CPC, art. 388, I) não se confunde com a argüição de falsidade do próprio documento (arts. 387, I e II, e 388, II), razão pela qual, impugnada a assinatura do documento particular, cessa-lhe a fé, independentemente de argüição de falsidade, cabendo o ônus da prova, nesse caso, à parte que o produziu.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2026-07-28T02:01:57.093Z</dcterms:created>
  <dcterms:modified xsi:type="dcterms:W3CDTF">2026-07-28T02:01:57.093Z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