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RECONHECIMENTO DE PATERNIDADE</w:t>
      </w:r>
    </w:p>
    <w:p>
      <w:r>
        <w:rPr>
          <w:i/>
          <w:iCs/>
          <w:color w:val="666666"/>
        </w:rPr>
        <w:t xml:space="preserve">MENOR RELATIVAMENTE INCAPAZ</w:t>
      </w:r>
    </w:p>
    <w:p/>
    <w:p/>
    <w:p>
      <w:r>
        <w:t xml:space="preserve">QUANDO SE PASSOU A ADMITIR NA VIGÊNCIA DO CASAMENTO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Quando do nascimento da criança, reconhecida como filha do apelado, em fevereiro de 1989, já vigia a Constituição Federal de 1988, que explicita, no parágrafo 6º do artigo 227, o seguinte: "os filhos, havidos ou não da relação do casamento, ou por adoção, terão os mesmos direitos e qualificações, proibidas quaisquer designações discriminatórias relativas à filiação." - O apelado reconheceu-se como pai da criança e, nesse passo, teve o assentimento da mãe, com quem vive, apesar de ser casado. - Não poderia, como é óbvio, o Ministério Público se opor ao registro, pois o menor foi reconhecido como filho por escritura pública, espontaneamente, pelo seu declarado pai, não havendo, atualmente, óbice a esse reconhecimento. - Como escreve JOSÉ AFONSO DA SILVA: "O art. 227, parágrafo 6º, contém importante norma relativa ao direito de filiação, reconhecendo igualdade de direitos e qualificações aos filhos, havidos ou não da relação de casamento, ou por adoção proibidas quaisquer designações discriminatórias a ela relativas. Ficam, assim, banidos da legislação civil expressões como filhos legítimos, filhos naturais, filhos adulterinos, filhos incestuosos ..." ("Direito Constitucional Positivo" - Editora Revista dos Tribunais - 5ª edição - 1989 - Pág. 710). Ac. de 06-02-1990 VENCIDO O DESEMBARGADOR LEONÍDIO DOEHLER Jurisprudência Mineira - Janeiro a Março de 1990 - Vol. 109 - Pág. 289 EMFOR 513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Aquele que se reconhece como pai e tendo o assentimento da mãe, com quem vive, apesar de casado, pode reconhecer o menor como filho, por escritura pública, espontaneamente. - Não pode o Ministério Público, se opor ao registro, pois não há, atualmente, óbice a esse reconhecimento.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2026-09-11T00:09:58.504Z</dcterms:created>
  <dcterms:modified xsi:type="dcterms:W3CDTF">2026-09-11T00:09:58.504Z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