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Relator: </w:t>
      </w:r>
      <w:r>
        <w:t xml:space="preserve">Alcides Aguiar</w:t>
      </w:r>
    </w:p>
    <w:p/>
    <w:p>
      <w:r>
        <w:t xml:space="preserve">PENDÊNCIA DE AÇÃO DE INVESTIGAÇÃO DE PATERNIDADE — PEDIDO INDEFERIDO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a preliminar, para afastá-la, basta lembrar que "Conforme entendimento pretoriano é desnecessário despacho fundamentado para a fixação dos alimentos provisórios, por envolver o arbitramento uma decisão de cognição incompleta" (AI n. 10.126, Des. Pedro Manoel Abreu). - Não nega o agravante que em casos excepcionais, quando a prova pré-constituída se apresenta impressionante, a demonstrar que há fortes indícios da veracidade dos fatos afirmados na inicial da ação de investigação, hão de ser concedidos os alimentos provisionais. - Todavia, segundo diz, não é o caso dos presentes autos. - E tenho para mim que lhe assiste razão. - De fato, não se tem subsídios de convencimento para legitimar a pretensão da alimentante que, intimada para responder o agravo, quedou-se inerte. - Ao que tudo indica, ao narrar os fatos que deram azo ao ajuizamento da investigatória, limitou-se a informar que é fruto de um relacionamento havido entre sua mãe e o ora recorrente, o qual ostentaria um excelente padrão de vida. - Nada trouxe que evidenciasse a efetiva existência de intercurso sexual entre os envolvidos. - Por outro lado, os documentos juntados pelo suposto pai com a petição de agravo, bem como o pedido de assistência judiciária que lhe foi deferido, provam, apesar da fragilidade, indícios de miserabilidade. - Desse modo, tendo-se em mente que "incabível, de ordinário, a concessão de alimentos provisionais no curso da ação de investigação de paternidade. Excepcionalmente é reconhecido este direito diante da situação aflitiva do alimentando, aliada a indícios do parentesco invocado (fumus boni iuris). Sem esses ele mentos de convicção, inviável é a pretensão" (AI n. 7.933, Rel. Des. Alcides Aguiar), é de ser dado provimento ao agravo. - Conceder-se os alimentos, diante de tal frágil prova, seria ato demasiado temerário, importando, como frisado pelo parquet, "num risco talvez irremediável para o putativo alimentante, que é o de pensionar desde logo sem ser o pai do alimentando, pois uma decisão negatória da paternidade, na 2ª instância, significaria o reconhecimento de que o prematuro pensionamento seria indevido e ilegal e, provavelmente, de difícil reparação". DECISÃO: - Nos termos do voto do relator, a Câmara decidiu, por votação, dar provimento ao recurso. Ac. de 06-10-1998 Arquivo do EMFOR, TJSC/N 1.692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Alimentos. Provisionais. Pendência de ação de investigação de paternidade. Inadmissibilidade. Inexistência de prova pré-constituída da paternidade, bem como de fatores idôneos de convicção para legitimar a pretensão. Pedido indeferido.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2026-10-26T01:58:34.121Z</dcterms:created>
  <dcterms:modified xsi:type="dcterms:W3CDTF">2026-10-26T01:58:34.121Z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