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/>
    <w:p>
      <w:r>
        <w:t xml:space="preserve">AMPLITUDE DO MANDAMENTO CONSTITUCIONAL — INDEPENDÊNCIA DO ESTADO CIVIL DOS GENITORES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Na expressão do prof. WALDEMAR MORAIS, citado pelo civilista prof. MILTON FERNANDES (RT, 564, pág. 19), "a Lei nº 883/49", também alcançada pela reforma constitucional, "está praticamente inutilizada"'. - A jurisprudência é farta: "Filiação ilegítima - Filho adulterino - Reconhecimento - Nova Carta Constitucional que, nivelando a situação de todos os filhos afastou o óbice legal para tal ato na constância do casamento - Dúvida improcedente - Inteligência e aplicação do art. 227, parágrafo 6º da CF" (RT, v. 652, pág. 138). "Investigação de paternidade - Filho adulterino havido na constância do casamento - Equiparação deste ao legítimo com o advento da Constituição Federal de 1988, restando revogada a limitação contida no art. 4º da Lei nº 883/49, possibilitando a qualquer tempo a promoção da ação" (RT, 660/164). "Filiação ilegítima - Filho adulterino - Reconhecimento na constância da sociedade conjugal com base no art. 227, parágrafo 6º da CF - Admissibilidade - Norma hierarquicamente superior que revogou todas as regras com ela conflitantes - Preceito que, ademais, como definidor dos direitos e garantias fundamentais do indivíduo, tem aplicação imediata, nos termos do art. 5º, parágrafo 1º da Carta Magna" (RT 654/84). "Filho adulterino - Reconhecimento - Registro não anulado em vida do pai - Eficácia - Investigação de paternidade desnecessária. Considera-se válido o reconhecimento antecipado de filho adulterino desde que não anulado o registro em vida do perfilhador. Não se remete o adulterino às vias ordinárias na investigação de paternidade quando esta foi solenemente declarada por quem podia fazê-lo". Embargo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disposições legais que vedavam o reconhecimento dos filhos havidos fora do casamento na constância da sociedade conjugal estão revogados pelo art. 227, parágrafo 6º da nova constituição e pelo art. 26 da Lei Federal nº 8.069/90.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2026-06-17T16:25:52.045Z</dcterms:created>
  <dcterms:modified xsi:type="dcterms:W3CDTF">2026-06-17T16:25:52.045Z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