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RECONHECIMENTO DE PATERNIDADE</w:t>
      </w:r>
    </w:p>
    <w:p>
      <w:r>
        <w:rPr>
          <w:i/>
          <w:iCs/>
          <w:color w:val="666666"/>
        </w:rPr>
        <w:t xml:space="preserve">MENOR RELATIVAMENTE INCAPAZ</w:t>
      </w:r>
    </w:p>
    <w:p/>
    <w:p/>
    <w:p>
      <w:r>
        <w:t xml:space="preserve">PRAZO — FLUÊNCIA - SE DEPENDE DE INTIMAÇÃO PESSOAL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Não conheço do recurso, por ser intempestivo. - A sentença foi publicada no órgão oficial em 25-4-1984 (...) e a apelação somente ofertada em 3 de setembro de 1984, portanto, fora do prazo legal, sendo irrelevante que o recorrente tenha como patrono o Dr. Defensor Público, o que torna ineficaz o despacho ... - É que os Defensores Públicos, quer pelas Constituições Federal e Estadual, quer pela legislação complementar, não são partes integrantes do órgão do Ministério Público, razão porque não gozam da prerrogativa do § 2º do art. 236 do Código de Processo Civil, não se lhes aproveitando para esse efeito, qualquer dispositivo de lei estadual, porque nenhum Estado da Federação pode legislar sobre direito processual, sequer supletivamente. - Os Defensores Públicos funcionam como advogados das partes que gozam do benefício da Assistência Judiciária, estando, assim, sujeitos ao preceito do "caput" do art. 236 do Código de Processo Civil, segundo o qual, "se consideram feitas as intimações pela só publicação dos atos no órgão oficial". - Assim, já foi decidido por esta Egrégia Câmara nas Apelações Cíveis ns 72.218, 92.827, 83.447 e 87.651, respectivamente em 30-3-1982, 13-9-1983, 5-4-1983 e 31-5-1983. Ac. de 08-05-1985 Arquivo do EMFOR, TA/715 EMFOR 456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Os defensores públicos não integram o órgão do Ministério Público e, em assim sendo, o prazo para interpor recurso é igual ao de parte comum e independe de intimação pessoal, não se lhes aplicando o disposto no artigo 36, § 2º, do Código de Processo Civil.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2026-06-17T16:48:27.625Z</dcterms:created>
  <dcterms:modified xsi:type="dcterms:W3CDTF">2026-06-17T16:48:27.625Z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