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/>
    <w:p>
      <w:r>
        <w:t xml:space="preserve">EXTINÇÃO DO PROCESSO SEM JULGAMENTO DO MÉRITO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proferira o despacho saneador, houve por bem, o Dr. Juiz a quo, em julgar parcialmente extinta a ação anulatória, sem julgamento do mérito, por entender que caracterizada ficara a ilegitimidade de parte passiva ad causam em relação aos réus L.R.S. e sua mulher L.T.J.S., N.A.R.P. e seu marido P.R.P, nos termos do art. 267, VI do CPC, determinando que o processo prosseguisse entre a autora E.C. e os réus J.P.C. e sua mulher, partes que figuram no contrato de compromisso de compra e venda celebrado, como outorgado comprador e outorgante vendedores, respectivamente. - Esse julgamento, sem dúvida, constitui uma sentença que, na conceituação que lhe empresta o art. 162, §1º, do CPC, "é o ato pelo qual o juiz põe termo ao processo, decidindo ou não o mérito da causa". - A respeito desse tema já se manifestou o Egrégio Supremo Tribunal, quando do julgamento do R.E. nº 88.784-BA, Rel. Min. CUNHA PEIXOTO (in RTJ nº 92, págs. 1.301/3), ao assentar: "Despacho saneador. Exclusão de parte. A decisão que exclui parte do feito, por ilegitimidade é, em relação a ela, terminativa, embora não tenha julgado o mérito. Pela sistemática do Código de Processo Civil vigente, dessa decisão cabe o recurso de apelação, e não agravo". Ac. de 20-10-1992 Arquivo do EMFOR - TJ/2.428 EMFOR 546 EMENTA: - Salvo casos excepcionalíssimos, para que o recurso especial fundado no art. 105, III, c, da CF/88 prospere, é necessário que o recorrente especial transcreva os trechos dos acórdãos (recorrido e paradigmas) que configuram o dissenso jurisprudencial, mencionando as circunstâncias que identifiquem ou assemelhem os casos confrontados. RESUMO DO ACÓRDÃO: - O recurso especial também não merece prosperar pela alínea c do autorizativo constitucional. A ora agravante limitou-se a transcrever trechos dos acórdãos trazidos como paradigmas, o que não satisfaz às exigências do § 2º do art. 255 do RISTJ. Para atender ao mandamento regimental, o recorrente especial deve transcrever os trechos dos acórdãos (recorrido e paradigmas) que configuram o dissenso jurisprudencial, mencionando as circunstâncias que identifiquem ou assemelhem os casos confrontados. Sem dúvida, o recorrente especial tem que demonstrar a identidade do suporte fático dos acórdãos divergentes, bem como ter sido diferente a solução jurídica dada aos casos confrontados. A respeito do tema, merecem destaque os acórdãos abaixo ementados: "Recurso especial. Dissídio de jurisprudência. Conhecimento. IPTU. Taxa. O conhecimento do recurso especial, tendo como causa dissídio de jurisprudência, requer demonstração analítica para comprovar a identidade do suporte fático. Omissis" (REsp 5.211/SP, 2ª T., unânime, rel. Min. CERNICCHIARO, publicado no DJ de 05.11.1990). "Recurso especial. Dissídio de jurisprudência. Suporte fático. O dissídio de jurisprudência, como causa do recurso especial, impõe identidade de matéria na pluralidade de julgamentos. O direito não é só norma. Cumpre considerar o fato. A divergência exige identidade do suporte fático" (REsp 2.094/RN, 2ª T., rel. Min. CERNICCHIARO, publicado no DJ de 30.04.1990). - Outro elucidativo acórdão que trata do tema foi proferido, à unanimidade de votos, pela 1ª Seção do STJ, quando do julgamento do EREsp 5.669/SP - AgRg. O aresto contém a seguinte ementa: "Tributário. Recurso especial. Gatt. ICM. Matéria-prima. Embargos de divergência indeferido. Agravo regimental. Não demonstrada de forma satisfatória e analítica a divergência, nem evidenciadas as circunstâncias que identificam os casos confrontados, não se pode conhecer do recurso em embargos de divergência. Negado provimento ao regimental. Decisão unânime" (EREsp 5.669/SP - AgRg, 1ª Seção do STJ, unânime, rel. Min. DEMÓCRITO REINALDO, publicado na RSTJ 30/319). No mesmo sentido: Ag 33.083/SP - AgRg, 1ª T. do STJ, unânime, rel. Min. DEMÓCRITO REINALDO, publicado no DJ de 26.04.1993. - Por oportuno, transcrevo o pronunciamento de NELSON NERY JUNIOR: "Art. 26, par. ún.: 7. Dissídio jurisprudencial. REsp. O recorrente deve demonstrar em suas razões de recurso, de forma analítica, onde reside a divergência na interpretação da lei federal, transcrevendo o trecho do acórdão paradigma e o trecho do acórdão recorrido onde isto se teria verificado. Embora a exigência da transcrição do trecho em que se deu a divergência não decorra da lei, mas de norma regimental (RISTJ 255, § 2º), se o recorrente assim não agir o STJ não terá condições de avaliar a existência da divergência,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insuscetível de ser qualificado como interlocutório o despacho saneador que exclui do processo determinadas partes, pois que quanto a elas, o julgamento é terminativo, constitui uma sentença e não uma decisão, segundo a conceituação que lhe empresta o § 1º, do art. 162 do CPC. - Assim, não há como conhecer-se do recurso de agravo de instrumento interposto, porquanto inadequado para a espécie, já que é apelável a sentença que extingue o processo, sem julgamento do mérito (art. 513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2026-10-26T02:00:08.856Z</dcterms:created>
  <dcterms:modified xsi:type="dcterms:W3CDTF">2026-10-26T02:00:08.856Z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