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RECONHECIMENTO DE PATERNIDADE</w:t>
      </w:r>
    </w:p>
    <w:p>
      <w:r>
        <w:rPr>
          <w:i/>
          <w:iCs/>
          <w:color w:val="666666"/>
        </w:rPr>
        <w:t xml:space="preserve">MENOR RELATIVAMENTE INCAPAZ</w:t>
      </w:r>
    </w:p>
    <w:p/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ALTERAÇÃO PARA PIOR EM DETRIMENTO DE PESSOA JURÍDICA DE DIREITO PÚBLICO — INADMISSIBILIDADE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remessa oficial - antigo recurso ex-officio - foi instituída em favor da Fazenda. Não pode, assim o reexame alterar a situação, sem recurso voluntário, para lhe agravar posição no processo. - Já o extinto Tribunal Federal de Recursos firmara convicção sobre a impossibilidade de se aproveitar o ensejo da remessa oficial para se alterar negativamente a posição do ente público. Afirmou aquele sodalício que o reexame necessário é estabelecido a benefício das pessoas jurídicas de direito público (RTFR 161/319). - É hipótese inteira de "reformatio in pejus", consoante pacificada manifestação, também do Egrégio Supremo Tribunal Federal conforme RT 478/229, RTJ 108/1.266, 114/913, RT 584/272, 598/260 (cf. CPC - THEOTONIO NEGRÃO - 21ª edição - art. 475:5 - pág. 263). - Por isso, comungando desse mesmo entendimento, conheço do recurso e dou-lhe provimento para restabelecer a decisão de primeiro grau. Ac. de 30-10-1991 DJ de 5-11-1991 Arquivo do EMFOR - STJ/535 EMFOR 520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Extrapola da matéria que lhe foi devolvida ao conhecimento e implica em reforma para pior, a decisão que, valendo-se da remessa oficial prevista no artigo 475 do Código de Processo Civil, quando não há recurso voluntário, altera a decisão do primeiro grau em detrimento do interesse da pessoa jurídica de direito público.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2026-09-11T00:10:35.992Z</dcterms:created>
  <dcterms:modified xsi:type="dcterms:W3CDTF">2026-09-11T00:10:35.992Z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