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RECONHECIMENTO DE PATERNIDADE</w:t>
      </w:r>
    </w:p>
    <w:p>
      <w:r>
        <w:rPr>
          <w:i/>
          <w:iCs/>
          <w:color w:val="666666"/>
        </w:rPr>
        <w:t xml:space="preserve">MENOR RELATIVAMENTE INCAPAZ</w:t>
      </w:r>
    </w:p>
    <w:p/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AGRAVAÇÃO DA CONDENAÇÃO IMPOSTA À FAZENDA PÚBLICA — SE É ADMISSÍVEL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É a toda evidência, contrária ao espírito do instituto a decisão que, na remessa ex officio, agrava a condenação impingida à Fazenda Pública, em qualquer aspecto, sabendo-se que o duplo grau jurisdição só ela aproveita. Ac. de 30-10-1991 Arquivo do EMFOR - STJ/600 N. da R.: V. também o t. DUPLO GRAU DE JURISDIÇÃO. EMFOR 523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instituto da remessa ex officio, consulta precipuamente o interesse do Estado ou da pessoa jurídica de direito público interno, quando sucumbente, para que a lide seja reavaliada por um colegiado e expurgadas imprecisões ou excessos danosos ao interesse público. - Fere a proibição de reformatio in pejus a decisão que, na remessa de ofício, agrava a condenação impingida à Fazenda Pública, sabendo-se que o duplo grau de jurisdição só a ela aproveita.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2026-06-17T14:03:39.702Z</dcterms:created>
  <dcterms:modified xsi:type="dcterms:W3CDTF">2026-06-17T14:03:39.702Z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