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Recurso: </w:t>
      </w:r>
      <w:r>
        <w:t xml:space="preserve">REsp 14.435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AGRAVAÇÃO DA CONDENAÇÃO IMPOSTA A FAZENDA PÚBLICA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Superior Tribunal de Justiça já firmou entendimento, no sentido de que: "DUPLO GRAU DE JURISDIÇÃO (CPC - ART 475, II) - NATUREZA JURÍDICA E ALCANCE - REFORMATIO IN PEJUS - VEDAÇÃO. A decisão de primeiro grau contrária à Fazenda Pública constitui o primeiro momento de um ato judicial complexo, cujo aperfeiçoamento requer a manifestação do Tribunal. A decisão monocrática que acumula dispositivos favoráveis e desfavoráveis ao Estado é sentença na parte que o favorece e simples esboço na parte que o contraria. Os dispositivos favoráveis, quando não atacados em recurso da parte contrária, produzem coisa julgada. A decisão em remessa ex offício alcança somente as partes desfavoráveis ao Estado. É vedado ao Tribunal em sede de remessa ex offício, ampliar a condenação imposta à União, a título de sucumbência" (REsp 14.435, 12.757, 13.261 e outros). Ac. de 05-08-1992 Arquivo do EMFOR - STJ/894 EMFOR 537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reexame necessário, é defeso, ao Tribunal, agravar a condenação imposta à Fazenda Pública (Súmula 45 (*) do STJ).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2026-09-11T00:11:55.432Z</dcterms:created>
  <dcterms:modified xsi:type="dcterms:W3CDTF">2026-09-11T00:11:55.432Z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