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RECONHECIMENTO DE PATERNIDADE</w:t>
      </w:r>
    </w:p>
    <w:p>
      <w:r>
        <w:rPr>
          <w:i/>
          <w:iCs/>
          <w:color w:val="666666"/>
        </w:rPr>
        <w:t xml:space="preserve">MENOR RELATIVAMENTE INCAPAZ</w:t>
      </w:r>
    </w:p>
    <w:p/>
    <w:p/>
    <w:p>
      <w:r>
        <w:t xml:space="preserve">DECISÃO QUE A JULGA — QUAL O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Preliminarmente, conheço do agravo por entender que é agravável a decisão em que o Juiz, como ocorre in casu, se considera incompetente para funcionar em um determinado feito. Uma decisão de tal natureza contraria, em dúvida um interesse da parte, e tal circunstância a torna, a meu ver agradável. Ac. de 12-11-1991 VENCIDO O DESEMBARGADOR ARTUR MAFRA Jurisprudência Mineira - Janeiro a Março de 1992 - Vol. 117 - Pág. 87 EMFOR 526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Da decisão do Juiz, que se considera incompetente para funcionar em determinado feito cabe agravo de instrumento, pois essa declaração de incompetência contraria interesse da parte.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2026-10-26T03:25:21.934Z</dcterms:created>
  <dcterms:modified xsi:type="dcterms:W3CDTF">2026-10-26T03:25:21.934Z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