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Julgado em: </w:t>
      </w:r>
      <w:r>
        <w:t xml:space="preserve">19/12/1984</w:t>
      </w:r>
    </w:p>
    <w:p/>
    <w:p>
      <w:r>
        <w:t xml:space="preserve">QUANDO SE CONSIDERA REALIZADA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Irrelevante a data em que o agravante postou o recurso, pois indispensável seria a sua chegada ao Juízo no prazo legal. Não foi o que se deu: vencido o prazo no dia 3 de abril, a apelação só deu entrada no dia seguinte, 4 de abril, quando foi protocolada. - Remessa pelo correio não constitui meio apropriado para interposição de recurso. Adotando-o, assumiu o agravante o risco da chegada a destempo. É de notar, aliás, que o prazo se vencia no dia 3 e somente no dia 2 foi expedida a correspondência, o que demonstra não ter o agravante sequer cuidado de observar uma certa margem de segurança. - E a jurisprudência tem sido uniforme, no sentido de que o recurso só se considera interposto quanto protocolado em repartição judiciária, é irrelevante que tenha sido apresentado ao correio no prazo (RTJ 83/371 e 96/702; RT 507/18; RJTJSP, 42/145, 42/225 e 50/160; JTACivSP, 76/353, cf. THEOTONIO NEGRÃO, "Código de Processo Civil", nota nº 7 ao art. 508). Julgado em 20-12-1984 Revista dos Tribunais. Maio, 1985 - Vol. 595 - Pág. 87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tem sido uniforme no sentido de que o recurso só se considera interposto quando protocolado em repartição judiciária. - É irrelevante que tenha sido apresentado no correio no prazo.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2026-09-10T23:18:16.501Z</dcterms:created>
  <dcterms:modified xsi:type="dcterms:W3CDTF">2026-09-10T23:18:16.501Z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