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Julgado em: </w:t>
      </w:r>
      <w:r>
        <w:t xml:space="preserve">19/12/1984</w:t>
      </w:r>
    </w:p>
    <w:p/>
    <w:p>
      <w:r>
        <w:t xml:space="preserve">QUANDO SE CONSIDERA REALIZADA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Irrelevante a data em que o agravante postou o recurso, pois indispensável seria a sua chegada ao Juízo no prazo legal. Não foi o que se deu: vencido o prazo no dia 3 de abril, a apelação só deu entrada no dia seguinte, 4 de abril, quando foi protocolada. - Remessa pelo correio não constitui meio apropriado para interposição de recurso. Adotando-o, assumiu o agravante o risco da chegada a destempo. É de notar, aliás, que o prazo se vencia no dia 3 e somente no dia 2 foi expedida a correspondência, o que demonstra não ter o agravante sequer cuidado de observar uma certa margem de segurança. - E a jurisprudência tem sido uniforme, no sentido de que o recurso só se considera interposto quanto protocolado em repartição judiciária, é irrelevante que tenha sido apresentado ao correio no prazo (RTJ 83/371 e 96/702; RT 507/18; RJTJSP, 42/145, 42/225 e 50/160; JTACivSP, 76/353, cf. THEOTONIO NEGRÃO, "Código de Processo Civil", nota nº 7 ao art. 508). Julgado em 20-12-1984 Revista dos Tribunais. Maio, 1985 - Vol. 595 - Pág. 87 EMFOR 450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tem sido uniforme no sentido de que o recurso só se considera interposto quando protocolado em repartição judiciária. - É irrelevante que tenha sido apresentado no correio no prazo.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2026-10-26T03:06:03.327Z</dcterms:created>
  <dcterms:modified xsi:type="dcterms:W3CDTF">2026-10-26T03:06:03.327Z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