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Julgado em: </w:t>
      </w:r>
      <w:r>
        <w:t xml:space="preserve">19/12/1984</w:t>
      </w:r>
    </w:p>
    <w:p/>
    <w:p>
      <w:r>
        <w:t xml:space="preserve">QUANDO SE CONSIDERA REALIZADA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Irrelevante a data em que o agravante postou o recurso, pois indispensável seria a sua chegada ao Juízo no prazo legal. Não foi o que se deu: vencido o prazo no dia 3 de abril, a apelação só deu entrada no dia seguinte, 4 de abril, quando foi protocolada. - Remessa pelo correio não constitui meio apropriado para interposição de recurso. Adotando-o, assumiu o agravante o risco da chegada a destempo. É de notar, aliás, que o prazo se vencia no dia 3 e somente no dia 2 foi expedida a correspondência, o que demonstra não ter o agravante sequer cuidado de observar uma certa margem de segurança. - E a jurisprudência tem sido uniforme, no sentido de que o recurso só se considera interposto quanto protocolado em repartição judiciária, é irrelevante que tenha sido apresentado ao correio no prazo (RTJ 83/371 e 96/702; RT 507/18; RJTJSP, 42/145, 42/225 e 50/160; JTACivSP, 76/353, cf. THEOTONIO NEGRÃO, "Código de Processo Civil", nota nº 7 ao art. 508). Julgado em 20-12-1984 Revista dos Tribunais. Maio, 1985 - Vol. 595 - Pág. 87 EMFOR 450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jurisprudência tem sido uniforme no sentido de que o recurso só se considera interposto quando protocolado em repartição judiciária. - É irrelevante que tenha sido apresentado no correio no prazo.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2026-06-17T14:02:55.090Z</dcterms:created>
  <dcterms:modified xsi:type="dcterms:W3CDTF">2026-06-17T14:02:55.090Z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