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REsp 31.345</w:t>
      </w:r>
    </w:p>
    <w:p/>
    <w:p>
      <w:r>
        <w:t xml:space="preserve">DECISÃO QUE HOMOLOGA A ATUALIZAÇÃO DO CÁLCULO — AGRAVO DE INSTRUMENTO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agravo de instrumento é o recurso cabível da decisão que homologa a atualização do cálculo da liquidação. Referência: - Incidente de Uniformização de Jurisprudência, no REsp. 31.345 - SP, Corte Especial, em 14-04-94 - DJ 19-09-94 Corte Especial, em 27-10-1994 DJ 7-11-1994, pág. 30.050 EMFOR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2026-09-10T22:14:54.302Z</dcterms:created>
  <dcterms:modified xsi:type="dcterms:W3CDTF">2026-09-10T22:14:54.302Z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