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RECURSO DA PREVIDÊNCIA</w:t>
      </w:r>
    </w:p>
    <w:p/>
    <w:p>
      <w:r>
        <w:rPr>
          <w:b/>
          <w:bCs/>
        </w:rPr>
        <w:t xml:space="preserve">Recurso: </w:t>
      </w:r>
      <w:r>
        <w:t xml:space="preserve">REsp 31.345</w:t>
      </w:r>
    </w:p>
    <w:p/>
    <w:p>
      <w:r>
        <w:t xml:space="preserve">DECISÃO QUE HOMOLOGA A ATUALIZAÇÃO DO CÁLCULO — AGRAVO DE INSTRUMENTO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O agravo de instrumento é o recurso cabível da decisão que homologa a atualização do cálculo da liquidação. Referência: - Incidente de Uniformização de Jurisprudência, no REsp. 31.345 - SP, Corte Especial, em 14-04-94 - DJ 19-09-94 Corte Especial, em 27-10-1994 DJ 7-11-1994, pág. 30.050 EMFOR 551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2026-10-26T04:58:43.937Z</dcterms:created>
  <dcterms:modified xsi:type="dcterms:W3CDTF">2026-10-26T04:58:43.937Z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