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ACIDENTE DO TRABALHO</w:t>
      </w:r>
    </w:p>
    <w:p>
      <w:r>
        <w:rPr>
          <w:i/>
          <w:iCs/>
          <w:color w:val="666666"/>
        </w:rPr>
        <w:t xml:space="preserve">RECURSO DA PREVIDÊNCIA</w:t>
      </w:r>
    </w:p>
    <w:p/>
    <w:p>
      <w:r>
        <w:rPr>
          <w:b/>
          <w:bCs/>
        </w:rPr>
        <w:t xml:space="preserve">Julgado em: </w:t>
      </w:r>
      <w:r>
        <w:t xml:space="preserve">09/10/1984</w:t>
      </w:r>
    </w:p>
    <w:p/>
    <w:p>
      <w:r>
        <w:t xml:space="preserve">DESPACHO QUE HOMOLOGA CONTA — CABIMENTO DE APELAÇÃO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Trata-se de agravo de instrumento contra "o r. despacho que homologou o cálculo" em execução para a cobrança de aluguéis e encargos. - Alega, em resumo, que, convertida em ORTN a quantia apurada na conta anterior, e, portanto, feito o depósito do total atualizado, não se justifica outro cálculo, salvo para liquidar as custas supervenientes. - Recurso tempestivo bem processado, com preparo regular; o Magistrado sustentou seu entendimento. - O "despacho" que homologou a conta, na verdade é sentença; contra esta cabe apelação (arts. 162, § 1º, e 513 do CPC). - Mesmo que diante do novo estatuto processual, não houvesse dúvida sobre a fungibilidade dos recursos, na hipótese, aquele princípio não poderia prevalecer, porque estaria configurado o erro grosseiro. - "Não conheceram o agravo." Julgado em 10-10-1984 Revista dos Tribunais. Março, 1985 - Vol. 593 - Pág. 163 EMFOR 446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Inteligência dos artigos 162, § 1º, e 513 do Código de Processo Civil. - O despacho que homologa conta de liquidação é, na verdade, sentença, contra ele cabendo apelação e não agravo de instrumento, conforme dispõe os artigos 162, § 1º, e 513 do Código de Processo Civil.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2026-10-26T04:54:31.329Z</dcterms:created>
  <dcterms:modified xsi:type="dcterms:W3CDTF">2026-10-26T04:54:31.329Z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