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RECURSO DA PREVIDÊNCIA</w:t>
      </w:r>
    </w:p>
    <w:p/>
    <w:p>
      <w:r>
        <w:rPr>
          <w:b/>
          <w:bCs/>
        </w:rPr>
        <w:t xml:space="preserve">Recurso: </w:t>
      </w:r>
      <w:r>
        <w:t xml:space="preserve">agravo regimental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DIA DE CIRCULAÇÃO DO "DIÁRIO DE JUSTIÇA" DA UNIÃO NA COMARCA DE ORIGEM DA CAUSA — IRRELEVÂNCIA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"Os argumentos expendidos pelo agravante não são capazes de afastar a extemporaneidade do agravo regimental. Ora, publicado o despacho agravado em 26.08.93 (fls. ...) - quinta-feira - o prazo para interposição do recurso esgotar-se-ia em 31.08.93 (terça-feira). No entanto, o recurso somente veio a ser protocolizado em 03.09.93 - sexta-feira - (fls. ...), quando já exaurido o qüinqüênio legal. Insignificante na contagem do prazo para o agravo da Lei 8.038/90 é o dia da circulação do "Diário da Justiça" da União na comarca de origem da causa. Em face do exposto, não conheço do presente agravo" (fl. ...). - No acórdão embargado não vislumbro nenhuma omissão a ser sanada. - Ficou claro no aresto que a circulação do Diário da Justiça da União na Comarca de origem da causa não tem nenhuma significação para a contagem do início do prazo recursal. Tal contagem é feita a partir da publicação do Diário da Justiça da União na Capital Federal, pois, como expressa o art. 236 do Código de Processo Civil, "No Distrito Federal e nas Capitais dos Estados e dos Territórios, consideram-se feitas as intimações pela só publicação dos atos no órgão oficial." - Obviamente, no caso, considerado o dia da circulação do órgão oficial na Capital da República, e não na comarca de origem da causa. - Isto posto, rejeito os embargos de declaração. Ac. de 25-04-1994 Arquivo do EMFOR, STJ/N 2.627 EMENTÁRIO FORENSE. Janeiro, 2000. Ano LII. Nº 614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dia da circulação do "Diário da Justiça" da União na comarca de origem da causa é insignificativo para a contagem do prazo recursal.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2026-06-17T13:59:59.644Z</dcterms:created>
  <dcterms:modified xsi:type="dcterms:W3CDTF">2026-06-17T13:59:59.644Z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