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/>
    <w:p>
      <w:r>
        <w:t xml:space="preserve">CONTAGEM — DATA EM QUE A PARTE INEQUIVOCAMENTE TOMOU CIÊNCIA DA DECISÃO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A espécie foi assim sumariada na origem: "Trata-se de Agravo de instrumento interposto por P. S/A contra decisão que considerou válida citação efetivada pelo correio e declarou a intempestividade da contestação oferecida nos autos da ação cautelar de sustação de protesto que lhe move Indústria de Máquinas e Implementos Agrícolas F. Ltda. Sustenta que a citação foi recebida por funcionário da empresa que não detém poderes para receber citação em seu nome, e que a decisão de não receber a contestação, levada a efeito em peça própria, viola dispositivos legais e princípios da pessoalidade e do direito ao contraditório. Aponta violação aos arts. 12, V, 212 e 233, § único do CPC, bem como ofensa ao inc. LV do art. 5º da CF. Requer a anulação de todos os atos processuais que se seguiram à citação, bem como a devolução do prazo contestacional. Acostou as peças necessárias e a prova do preparo." - Decidindo a e. Quarta Câmara Cível do Tribunal de Alçada do Estado do Rio Grande do Sul negou provimento ao agravo, estando o acórdão sintetizado na seguinte ementa: "Agravo. Citação de pessoa jurídica via postal. Recebimento por funcionário graduado na empresa. Conhecimento dado à Administração. Validade da citação. Efetivando a citação pelo correio (arts. 22 e 223 CPC), com a entrega da carta citatória a funcionário da empresa, e tendo a administração recebido ciência do ato, tanto que compareceu no prazo da defesa, só para alegar a nulidade da citação, esta se convalida. O carteiro, embora não tenha fé pública, desempenha uma missão importan te, e quando faz a entrega da citação a pessoa de confiança, cumpre com sua missão mormente se há manifestação de defesa nos autos, em razão da comunicação recebida." - Opostos embargos de declaração, foram rejeitados. - Inconformada, a empresa manifestou recurso especial, com fundamento na alínea a do permissivo constitucional, alegando negativa de vigência aos arts. 12, VI, 215 e 223, parágrafo único, do Código de Processo Civil, 144 da Lei 6.404/76, além de dissídio jurisprudencial. - Processado e admitido o recurso, subiram os autos. - É o relatório, ... DO VOTO - A questão é singular. Inicialmente, a ora recorrente compareceu a juízo tão-só para argüir a nulidade da citação. Antes que o juízo tivesse decidido o propósito, resolveu contestar o feito, com a declaração expressa de que comparecia espontaneamente a juízo. Fê-lo, entretanto, fora do prazo legal, que passou a correr, evidentemente, da data em que inequivocamente tomou ciência, ou seja, da argüição da nulidade da citação em juízo. - Tais as circunstâncias, não há divisar afronta aos dispositivos legais apontados no recurso, nem tampouco é dado vislumbrar, dissídio, na falta da necessária particularização temática. Não conheço, pois, do recurso. É como voto, ... Ac. de 16-04-1998 DJ de 22-06-1998 (Reg. nº 97.0080519-0) Revista do Superior Tribunal de Justiça, nº 107, julho de 1998, pág. 233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a parte, que antes argüira apenas a nulidade da citação, vindo, antes da decisão do juízo a respeito, a contestar o feito, com declaração expressa de que compareceria espontaneamente, o prazo recursal é de ser contado da data em que inequivocamente tomou ciência, ou seja, quando da argüição de nulidade.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2026-06-17T16:34:55.320Z</dcterms:created>
  <dcterms:modified xsi:type="dcterms:W3CDTF">2026-06-17T16:34:55.320Z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