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/>
    <w:p>
      <w:r>
        <w:t xml:space="preserve">ASSINATURA DO ADVOGADO — FALTA - ATO INEXISTENTE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ato inexistente, desmerecedor de exame, como bem entende o Supremo Tribunal Federal, em acórdão da lavra do eminente Ministro NÉRI DA SILVEIRA, com a seguinte ementa: "Reclamação. Dela não se conhece se a inicial não vem assinada pelo procurador da reclamante. Inicial, sem assinatura do procurador da parte, é peça insuscetível de exame." (Pleno, reclamação nº 456-2, julg. em 29-6-94; "in" DJ de 28-4-95). - Em sendo peça apócrifa, o recurso não pode ser examinado. - Posto isto, não se conhece dos embargos de declaração. Ac. de 24-08-1995 Arquivo do EMFOR - TJ/2.588 EMFOR 563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conhece de recurso sem assinatura do advogado na respectiva petição, que se revela ato inexistente.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2026-06-17T14:03:59.013Z</dcterms:created>
  <dcterms:modified xsi:type="dcterms:W3CDTF">2026-06-17T14:03:59.013Z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