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/>
    <w:p>
      <w:r>
        <w:t xml:space="preserve">ASSINATURA DO ADVOGADO — FALTA - ATO INEXISTENTE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ato inexistente, desmerecedor de exame, como bem entende o Supremo Tribunal Federal, em acórdão da lavra do eminente Ministro NÉRI DA SILVEIRA, com a seguinte ementa: "Reclamação. Dela não se conhece se a inicial não vem assinada pelo procurador da reclamante. Inicial, sem assinatura do procurador da parte, é peça insuscetível de exame." (Pleno, reclamação nº 456-2, julg. em 29-6-94; "in" DJ de 28-4-95). - Em sendo peça apócrifa, o recurso não pode ser examinado. - Posto isto, não se conhece dos embargos de declaração. Ac. de 24-08-1995 Arquivo do EMFOR - TJ/2.588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conhece de recurso sem assinatura do advogado na respectiva petição, que se revela ato inexistente.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2026-09-10T22:09:55.740Z</dcterms:created>
  <dcterms:modified xsi:type="dcterms:W3CDTF">2026-09-10T22:09:55.740Z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