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03/09/1984</w:t>
      </w:r>
    </w:p>
    <w:p/>
    <w:p>
      <w:r>
        <w:t xml:space="preserve">EFEITOS — SE INTERFERE NO SISTEMA DE PRAZOS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anota THEOTÔNIO NEGRÃO ("Código de Processo Civil e Legislação Processual em Vigor", 13ª ed., nota 3 ao art. 518), "o recebimento da apelação pelo juiz não comporta recurso (RT 488/73, RJTJSP 80/248), mesmo porque o tribunal não fica vinculado a esse ato, podendo não conhecer da apelação, se incabível ou fora de prazo (STF, RTJ 86/596 e RJTJSP 50/167; TJSP, RJTJSP 50/165)". - No entanto, atentos à circunstância por último apontada na nota supra, conhecem do recurso. - E o fazem por entender, na esteira de remansosa jurisprudência, inclusive da E. Suprema Corte (cf. ob. cit., nota 3 ao art. 195), no sentido de que "a não devolução dos autos, pelo advogado, no prazo para interposição do recurso não acarreta, como pena, o não conhecimento deste". - Como acentuou o Min. MOREIRA ALVES em voto proferido no julgamento do RJ 87.144 - SP (RTJ 93/701 e 702), a norma do art. 195 do CPC "se limita a explicitar uma presunção, como bem acentua HÉLIO TORNAGHI ("Comentários ao Código de Processo Civil", vol. II/93, Ed. RT, São Paulo, 1975): "A lei presume escrito fora do prazo o que o advogado lança nos autos devolvidos tardiamente. Na impossibilidade de saber se o advogado falou dentro do prazo o juiz manda riscar o que neles houver escrito e bem assim, desentranhar as alegações e documentos que apresentar". Ela não se aplica, porém, a hipótese como a presente, em que, em face de disposição legal, a tempestividade resulta da autenticação, na própria petição de recurso, do momento de seu ingresso no protocolo da Secretaria do tribunal". E, prosseguindo, anota várias outras decisões daquela corte seguindo a mesma orientação. - Aliás, o ensinamento de PONTES DE MIRANDA é no sentido de que "entregue ao Cartório, o recurso de apelação está interposto" ("Comentários ao Código de Processo Civil" 1975, vol. VII/205). - Assim, observado o prazo de interposição do recurso, "a falta de devolução dos autos a cartório é irregularidade que o juiz reprimirá, mas não interfere com o sistema de prazos" (RT 374/179). Como bem assinalou v. aresto estampado nos JTACivSP 66/64, a providência que cabia ante a ocorrência do fato em tela seria "a cobrança dos autos ao patrono do litigante, e, qual fosse o caso, a aplicação da multa e a perda do direito de vista dos autos fora do cartório (art. 196)", não se justificando a aplicação de sanção de caráter processual, que, atingindo a parte, se mostra injurídica. - Conquanto a questão já tenha merecido solução diversa, a aqui ora afirmada tem sido avaliada por decisões recentes deste Tribunal (JTACivSP 72/231 e 77/50, AI 123.962, RT 579/140). - Embora conhecido, o recurso não está a merecer qualquer espécie de provimento. ... . Julgado em 04-09-1984 Revista dos Tribunais. Março, 1985 - Vol. 503 - Pág. 158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devolução dos altos a cartório após o término do prazo recursal é irregularidade que o juiz reprimirá, mas que não interfere com o sistema de prazos.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2026-09-10T23:20:12.265Z</dcterms:created>
  <dcterms:modified xsi:type="dcterms:W3CDTF">2026-09-10T23:20:12.265Z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