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RECURSO DA PREVIDÊNCIA</w:t>
      </w:r>
    </w:p>
    <w:p/>
    <w:p>
      <w:r>
        <w:rPr>
          <w:b/>
          <w:bCs/>
        </w:rPr>
        <w:t xml:space="preserve">Recurso: </w:t>
      </w:r>
      <w:r>
        <w:t xml:space="preserve">Agravo Regimental 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LAFAYETTE DE ANDRADA</w:t>
      </w:r>
    </w:p>
    <w:p/>
    <w:p>
      <w:r>
        <w:t xml:space="preserve">INTERPOSIÇÃO POR ESSE MEIO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do recurso, interposto por via telegráfica, sem embargo da ausência de reconhecimento de firma, em face do precedente desta Corte, no AgRg no Ag. 1.075, de que foi Relator o Min. WALDEMAR ZVEITER, no qual se lançou a seguinte ementa (DJ de 28-5-90): Processual Civil - Agravo Regimental - Recurso por telegrama - Desnecessidade do reconhecimento da firma do advogado emitente - Inteligência do art. 66 do RISTJ c/c o art. 374 do CPC. I - A exigência para o conhecimento do recurso interposto por telegrama do reconhecimento da firma do remetente (art. 374, do CPC), constitui-se demasia, se do seu teor constam, perfeitamente indicados o nome das partes, do patrono do recorrente e o número do processo, vez que não se impõe a mesma restrição quando a petição é entregue no protocolo geral do Tribunal (art. 66, RISTJ). Ac. de 19-06-1990 DJ de 6-8-1990 Arquivo do EMFOR - STJ/221 NO MESMO SENTIDO: Rec. Extr. nº 29.084, STF, 2ª T., Relator: Ministro LAFAYETTE DE ANDRADA, ac. de 14-10-1955, in "EMFOR", Nº 101. EMFOR 508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Conhece-se do recurso, interposto por via telegráfica, independentemente do reconhecimento da firma do remetente, se presentes os seus demais requisitos de admissibilidade.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2026-09-10T23:17:54.401Z</dcterms:created>
  <dcterms:modified xsi:type="dcterms:W3CDTF">2026-09-10T23:17:54.401Z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