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ACIDENTE DO TRABALHO</w:t>
      </w:r>
    </w:p>
    <w:p>
      <w:r>
        <w:rPr>
          <w:i/>
          <w:iCs/>
          <w:color w:val="666666"/>
        </w:rPr>
        <w:t xml:space="preserve">RECURSO DA PREVIDÊNCIA</w:t>
      </w:r>
    </w:p>
    <w:p/>
    <w:p>
      <w:r>
        <w:rPr>
          <w:b/>
          <w:bCs/>
        </w:rPr>
        <w:t xml:space="preserve">Recurso: </w:t>
      </w:r>
      <w:r>
        <w:t xml:space="preserve">REsp 506</w:t>
      </w:r>
    </w:p>
    <w:p>
      <w:r>
        <w:rPr>
          <w:b/>
          <w:bCs/>
        </w:rPr>
        <w:t xml:space="preserve">Tribunal: </w:t>
      </w:r>
      <w:r>
        <w:t xml:space="preserve">STJ</w:t>
      </w:r>
    </w:p>
    <w:p/>
    <w:p>
      <w:r>
        <w:t xml:space="preserve">QUESTÕES SUSCITADAS NA ARGUIÇÃO DE RELEVÂNCIA — QUANDO SERVEM DE BASE PARA SUA INTERPOSIÇÃO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, à guisa de fundamentação transcrevo a ementa do precedente a que me reporto no despacho agravado (AgRg no Ag nº 2.380 - SP), julgado à unanimidade por esta eg. 4ª Turma, sendo Relator o eminente Ministro Sálvio de Figueiredo: "Processo civil. Direito transitório. Orientação da Turma. Recurso desprovido. I - Com uma só divergência assentou a Turma, a partir do REsp nº 506 - RJ (DJ de 23-10-89), que os recursos interpostos antes da instalação do Superior Tribunal de Justiça, ocorrida em 7-4-89, se sujeitaram às disposições regimentais do Supremo Tribunal Federal, em face do disposto no art. 27, § 1º, do Ato das Disposições Constitucionais Transitórias. II - Argüida a relevância da questão federal ao arrepio das normas regimentais então vigentes, preclusa restou a matéria nela versada." - No caso vertente, como salientou a decisão ora impugnada, a argüição de relevância descumpriu o disposto no art. 328 do RISTF. - Eis porque nego provimento ao agravo regimental. Ac. de 23-10-1990 RSTJ, Rev. 17, págs. 25-44, Janeiro de 1991 Arquivo do EMFOR, STJ/N 2. 511 EMFOR 613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As questões suscitadas na argüição de relevância podem servir de base ao recurso especial, desde que esta, à época da interposição do recurso extraordinário, tenha sido deduzida em consonância com as exigências do art. 328 do RISTF.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2026-09-11T00:27:24.320Z</dcterms:created>
  <dcterms:modified xsi:type="dcterms:W3CDTF">2026-09-11T00:27:24.320Z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