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ESPECIAL</w:t>
      </w:r>
    </w:p>
    <w:p>
      <w:r>
        <w:rPr>
          <w:i/>
          <w:iCs/>
          <w:color w:val="666666"/>
        </w:rPr>
        <w:t xml:space="preserve">EMBARGOS INFRINGENTES</w:t>
      </w:r>
    </w:p>
    <w:p/>
    <w:p/>
    <w:p>
      <w:r>
        <w:t xml:space="preserve">INTERPRETAÇÃO DE CLÁUSULA — SE O AUTORIZA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apreciação da matéria fática é incompatível no âmbito do recurso especial, assim como a simples interpretação de cláusula de contrato, qual seja, a teor do acórdão a quo - "na situação em exame, o contrato social não contempla cláusula alguma que permita a continuidade da empresa. Eram apenas dois sócios e, falecendo um deles, a cláusula 10ª estipula, tão-somente, a apuração dos bens e pagamentos aos herdeiros do de cujus. Logo, não há como dar continuidade à sociedade que, aliás, girava com o uso do nome exatamente do sócio morto (U.G. M Cia. Ltda)". - Tenho como suficientes as razões minuciosamente expostas no d., parecer acima transcrito e, neste sentido, não conheço do recurso. Ac. de 15-12-1992 Rev. do Sup. Tribunal de Justiça - Agosto de 1993 - Nº 48 - Pág. 247 EMFOR 538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Alegação de contrariedade a lei que convoca interpretação de cláusula contratual, providência incompatível com a instância excepcional.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2026-07-28T04:12:31.803Z</dcterms:created>
  <dcterms:modified xsi:type="dcterms:W3CDTF">2026-07-28T04:12:31.803Z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