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CÉSAR ASFOR ROCHA</w:t>
      </w:r>
    </w:p>
    <w:p/>
    <w:p>
      <w:r>
        <w:t xml:space="preserve">INTERPRETAÇÃO DE CLÁUSULA — QUANDO NÃO O ENSEJA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combatida é a seguinte: "O agravo de instrumento interposto pela União Federal não prospera eis que o acórdão recorrido decidiu a questão interpretando, exclusivamente, dispositivos da Constituição Federal (art. 109, I, e art. 117, parágrafo único), conforme bem resolveu a decisão impugnada, "in verbis": Os recursos especiais de CARLOS FERNANDO DO AMARAL ... e da União Federal ..., manifestados com base no art. 105, II, letra "a", da Constituição Federal, impugnam acórdão da Egrégia Primeira Turma, cujos fundamentos acham-se resumidos na seguinte ementa ..., "verbis": "Constitucional. Administrativo. Justiça do Trabalho. Juiz Suplente de Juiz classista. Substituição. Constituição Federal, artigo 109, inciso I, e artigo 117, Parágrafo único. Preliminar. 1 - A competência para apreciar ato administrativo da Presidência de Tribunal Regional do Trabalho é dos Juízes federais (C. F., art. 109, I). 2 - Preliminar de incompetência rejeitada. 3 - "Os representantes (juízes) classistas terão suplentes" (C. F., art. 117, parágrafo único), o que dizer que um fica vinculado ao outro. 4 - Por outro lado, os atos de recondução de um e de outro, para o triênio seguinte, embora separados, não os desvinculam. 5 - Apelos improvidos. 6 - Decisão mantida." - Apontam os recentes como malferido o art. 6º da Lei de Introdução ao Código Civil. - Não merecem trânsito as irresignações especialmente deduzidas. Conquanto mencionado referido dispositivo legal na decisão mon ocrática, prestigiada pelo aresto recorrido, o fundamento deste assentou-se exclusivamente em matéria de índole constitucional, qual seja a disciplinada pelos arts. 109, I, e 117, parágrafo único, da Carta Magna, cujo ataque, em tese, tem no recurso extraordinário a via jurídico-processual adequada (art. 102, III, da CF/88). - Na sua concepção constitucional, a finalidade do recurso especial é garantir a uniformidade de interpretação das leis federais ordinárias. Sua função jurisdicional precípua é manter a autoridade e unidade de inteligência das normas infraconstitucionais. Não há, destarte, em sede de recurso especial, espaço à apreciação de julgado proferido com suporte em tema de natureza estritamente constitucional. - Essa é a lição da jurisprudência do Egrégio Superior Tribunal de Justiça, que adverte ser "impossível, em sede de recurso especial, reexaminar aresto que trata unicamente de matéria constitucional" (REsp. nº 16.830-0-AM, Rel. Ministro CÉSAR ASFOR ROCHA, "in" DJ de 1-5-1993 - Seção I - pág. 2.491). Servem, ainda, de exemplo dentre outros, estes precedentes específicos: REsp. nº 6.788-RO, Rel. Ministro DIAS TRINDADE, "in" DJ de 15-4-1991 - Seção I - págs. 4.300-4; Ag. nº 9.824-MG, Rel. Ministro DIAS TRINDADE, "in" DJ de 18-4-1991 - Seção I - pág. 4.534 e REsp. nº 8.798-RJ, Rel. Ministro PEDRO ACIOLI, "in" DJ de 3-6-1991 - Seção I - pág. 7.412, todos no sentido de que não cabe recurso especial para o exame de matéria constitucional, que enseja a interposição de recurso extraordinário, aliás, formalizado pelas recorrentes ... . Tal contexto, inadmito os recursos especiais". ... Adoto essa fundamentação e nego provimento ao agravo." ... - Tivesse o acórdão duplo fundamento, constitucional e infraconstitucional, ambos suficientes para manterem o julgado, inadmissível é o especial se o recurso extraordinário não foi o manejado pela parte interessada. - A simples leitura da ementa demonstra que o acórdão tem apoio na Constituição. - Nego provimento ao agravo regimental. Ac. de 29-3-1995 Arquivo do EMFOR - STJ/02-96 EMFOR 572 - A decisão que admite, ou não, o recurso especial deve ser fundamentada, com o exame dos seus pressupostos gerais e constitucionais. Referência: - Constituição Federal, arts. 93, IX, e 105, III. - Lei nº 8.038, de 28-5-1990, art. 27, parágrafo 1º. REsp 8.341 - SP (CE 13-08-92 - DJ 26-0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simples interpretação de cláusula contratual não enseja recurso especial. Referência: - Constituição Federal, art. 105, III. - Regimento interno do STJ, art. 257. REsp 1.306 - PE (1ª T 22-11-89 - DJ 11-12-89). REsp 1.085 - RS (2ª T 21-02-90 - DJ 19-03-90). AgRg no Ag 165 - RS (3ª T 24-10-89 - DJ 18-12-89). REsp 1.563 - PI (3ª T 12-12-89 - DJ 05-03-90). REsp 1.672 - GO (3ª T 12-12-89 - DJ 19-02-90). REsp 1.811 - RJ (3ª T 20-02-90 - DJ 26-03-90). REsp 1.162 - GO (4ª T 30-10-89 - DJ 11-11-89). REsp 1.510 - PB (4ª T 05-12-90 - DJ 19-02-90). REsp 1.642 - SP (4ª T 13-02-90 - DJ 12-03-90). Corte Especial, em 10-5-90 DJ 21-5-90, pág. 4.407 Rep. 15-6-90, pág. 5.507 Arquivo do EMFOR - STJ/159 EMENTÁRIO FORENSE. Janeiro, 1994. Ano XLVI. Nº 542 EMENTA: - A decisão recorrida, conforme exsurge de sua ementa, tratou de matéria constitucional insuscetível, pois, de exame pelo Superior Tribunal de Justiça. Se tem duplo fundamento, constitucional e infraconstitucional, suficiente um e outro para manter o julgado, também é inadmissível. A questão do ângulo de quem recorre é uma, o que não obriga a quem julga a seguí-la automaticamente.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2026-07-28T01:47:54.780Z</dcterms:created>
  <dcterms:modified xsi:type="dcterms:W3CDTF">2026-07-28T01:47:54.780Z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