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/>
    <w:p>
      <w:r>
        <w:t xml:space="preserve">PRECEDENTE DO SUPREMO TRIBUNAL FEDERAL — DEMONSTRAÇÃO ANALÍTICA DO DISSÍDIO - INEFICÁCIA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face do disposto no art. 105, inciso III, alínea c, da Constituição Federal, não serve para justificar o cabimento do recurso especial, a demonstração analítica de dissídio jurisprudencial entre a tese firmada pelo acórdão recorrido e a de precedente do Supremo Tribunal Federal, indicado na fundamentação de paradigma do próprio Tribunal de origem, trazido à colação pelo recorrente. - Por esta razão, não conheço do recurso. Ac. de 12-09-1989 Rev. Sup. Tr. de Justiça - Dez. de 1990 - nº 16 - Pág. 345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caracterização de dissídio jurisprudencial ensejador do cabimento do Recurso Especial para esta corte, em face do disposto no art. 105, inciso III, alínea c, da constituição Federal de 1988, é ineficaz a demonstração analítica da divergência com precedente do Supremo Tribunal Federal, indicado na fundamentação de julgado do próprio Tribunal de origem, trazido à colação pelo recorrente.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2026-10-26T03:00:31.066Z</dcterms:created>
  <dcterms:modified xsi:type="dcterms:W3CDTF">2026-10-26T03:00:31.066Z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