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10.121</w:t>
      </w:r>
    </w:p>
    <w:p/>
    <w:p>
      <w:r>
        <w:t xml:space="preserve">INTERPRETAÇÃO DE NORMA CONSTITUCIONAL — MATÉRIA QUE NÃO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observa, a divergência entre o aresto recorrido e aquele trazido a colação não se estabeleceu sobre a interpretação de lei federal, ou de ato normativo de categoria inferior à da lei, mas sim sobre a exegese de dispositivo da própria Constituição Federal. A argüição de divergência destarte, malgrado o precedente desta Turma no REsp 10.121, de que foi relator o em. Min. FONTES DE ALENCAR, a meu sentir se não enquadra na previsão do artigo 105, III, "c", da Lei Magna, mesmo porque a eventual incidência dos artigos 219 e 220 do CPC não foi questionada no acórdão recorrido. Ac. de 12-05-1992 Rev. do Sup. Tribunal de Justiça - Setembro de 1992 - Nº 37 - Pág. 424 N. da Red.: V. Também o st. MATÉRIA CONSTITUCIONAL. ("EMFOR", Nº 529).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conhecimento do recurso especial pela alínea "e" pressupõe divergência de interpretação da lei federal, não sendo adequado quando a divergência se haja estabelecido quanto à exegese de norma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2026-07-27T23:54:15.489Z</dcterms:created>
  <dcterms:modified xsi:type="dcterms:W3CDTF">2026-07-27T23:54:15.489Z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