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/>
    <w:p>
      <w:r>
        <w:t xml:space="preserve">MEDIDA CAUTELAR — CASO CONSIDERADO COMO NÃO EXCEPCIONAL - NECESSIDADE DE COMPROVAÇÃO DO "FUMUS BONI JURIS" E DO "PERICULUM IN MORA"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Nego provimento ao agravo, mantendo o despacho anterior cujas conclusões transcrevo: "Sem discutir, nem de leve, quanto ao mérito do REsp. o fato é que o Egrégio Tribunal Regional Federal da 4ª Região julgou o mandado de segurança, em grau de apelação, vale dizer, assegurado já foi, à parte o direito ao duplo grau de jurisdição. Cogita, agora, de reformar a decisão daquela corte em instância especial e extraordinária. nestes casos, o legislador, assegurado o duplo grau de jurisdição, não atribuiu aos recursos especial e extraordinário o efeito suspensivo, visando aplicar, em menor espaço de tempo, a sede de justiça das pessoas em conflito. - Modificar, por meio de medida cautelar, inominada, o efeito em que a lei determina seja recebido o REsp, somente entendo admissível em casos excepcionais, com a inequívoca comprovação do fumus boni juris e do periculum in mora. Ac. de 14-08-1991 Revista do Sup. Tribunal de Justiça - Setembro, 1991 - Nº 25 - Pág. 273.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concederá efeito suspensivo para recebimento do recurso especial, salvo em casos excepcionais, com a inequívoca comprovação do fumus boni juris e do periculum in mora.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2026-07-27T23:29:50.326Z</dcterms:created>
  <dcterms:modified xsi:type="dcterms:W3CDTF">2026-07-27T23:29:50.326Z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