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agravo de instrumento .</w:t>
      </w:r>
    </w:p>
    <w:p/>
    <w:p>
      <w:r>
        <w:t xml:space="preserve">APRECIAÇÃO GLOBAL — FACULDADE DO SUPREMO TRIBUNAL FEDERAL</w:t>
      </w:r>
    </w:p>
    <w:p/>
    <w:p>
      <w:pPr>
        <w:pStyle w:val="Heading2"/>
      </w:pPr>
      <w:r>
        <w:rPr>
          <w:b/>
          <w:bCs/>
        </w:rPr>
        <w:t xml:space="preserve">Ementa</w:t>
      </w:r>
    </w:p>
    <w:p>
      <w:r>
        <w:t xml:space="preserve">Se a decisão contiver partes autônomas, a admissão parcial, pelo Presidente do Tribunal "a quo", de recurso extraordinário que, sobre qualquer delas se manifestar, não limitará apreciação de todas pelo Supremo Tribunal Federal, independentemente de interposição de agravo de instrumento. Referência: - Código de Processo Civil, artigo 869 - Lei nº 3.396, de 2.6.58, artigo 7º - Regimento Interno do S.T.F., artigo 193 EAI 31.489, de 26.10.67 (R.T.J. 46/700). Sessão de 3-12-1969 D.J., Dezembro, 1969 - pág. 5.949 - n. 235 EMFOR 256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2026-07-27T23:53:48.566Z</dcterms:created>
  <dcterms:modified xsi:type="dcterms:W3CDTF">2026-07-27T23:53:48.566Z</dcterms:modified>
</cp:coreProperties>
</file>

<file path=docProps/custom.xml><?xml version="1.0" encoding="utf-8"?>
<Properties xmlns="http://schemas.openxmlformats.org/officeDocument/2006/custom-properties" xmlns:vt="http://schemas.openxmlformats.org/officeDocument/2006/docPropsVTypes"/>
</file>