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>
      <w:r>
        <w:rPr>
          <w:b/>
          <w:bCs/>
        </w:rPr>
        <w:t xml:space="preserve">Julgado em: </w:t>
      </w:r>
      <w:r>
        <w:t xml:space="preserve">11/02/1985</w:t>
      </w:r>
    </w:p>
    <w:p/>
    <w:p>
      <w:r>
        <w:t xml:space="preserve">MEDIDA CAUTELAR — CASO CONSIDERADO COMO NÃO EXCEPCIONAL JUSTIFICANDO-A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Extraordinário, como é sabido, possui efeito meramente devolutivo, quer em face de expresso dispositivo legal (artigo 543, § 4º, do Código de Processo Civil) e regimental (artigo 321, § 4º, do Regimento Interno do Supremo Tribunal Federal), quer diante da própria índole do apelo. - Por isso, só em casos excepcionais, poderá ser referida a medida cautelar prevista nos artigos 21, IV e 304 do Regimento Interno, para conferir efeito suspensivo ao recurso, consoante já decidiu esta Primeira Turma, ao apreciar a Petição nº 118 sendo relator o eminente SOAREZ MUÑOZ: "Medida cautelar. Recurso Extraordinário. - O recurso extraordinário tem efeito unicamente devolutivo. Só em casos excepcionais poderá ser referida medida cautelar, imprimindo à irresignação para o efeito suspensivo, máxime sem audiência das partes. Aplicação dos artigos 304 e 21, VI, do RISTF c/c, os artigos 343, § 4º, 797 e 798 do CPC. Liminar indeferida". (RTJ nº 110/458). - Não encontro, na hipótese presente, a configuração dessa excepcionalidade. - A busca e apreensão e o seqüestro, executada com as cautelas legais e sob o poder de vigilância do juízo que os decretou, não podem ser motivo de presunção "da ameaça de extravio" dos bens alcançados. - Por outro lado não está comprometida a eficácia da decisão a ser proferida no Recurso Extraordinário pendente que, a ser ele provido, consistiria na anulação do acórdão recorrido, para que outro viesse a ser proferido, com as formalidades legais. - Observo, ainda, que a medida cautelar em exam e, como regulada no artigo 21, VI, do Regimento Interno, prescinde das citações requeridas. - Indefiro, por isso e desde logo, a medida cautelar. Julgado em 12-02-1985 Revista Trimestral de Jurisprudência. Junho, 1985 - Vol. 112 - Pág. 957 EMFOR 448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cautelar, visando a conferir efeito suspensivo a Recurso Extraordinário, só em casos excepcionais se faz cabível (artigos 304 e 321, § 4º, do Regimento Interno). - Presunção de extrativo de bens, que não tem lugar, na espécie, tampouco o risco de ineficácia da ulterior decisão, no Recurso Extraordinário (artigo 21, IV, do Regimento Interno).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2026-10-26T02:57:13.369Z</dcterms:created>
  <dcterms:modified xsi:type="dcterms:W3CDTF">2026-10-26T02:57:13.372Z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