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 85.013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10/09/1984</w:t>
      </w:r>
    </w:p>
    <w:p/>
    <w:p>
      <w:r>
        <w:t xml:space="preserve">EXECUÇÃO POR TÍTULO EXTRAJUDICIAL — OCORRÊNCIA - A PARTIR DE QUANDO SE DÁ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óbice regimental (art. 325, VI, do RI/STF) realmente existe a impedir o prosseguimento do extraordinário, pois, no caso se trata de execução por título judicial. - A restrição referente à parte final do inciso VI do art. 325 do Regime Interno apenas diz respeito às execuções decorrentes de título extrajudiciais. - Pelo Regimento anterior (RI de 1970, alterado pela E.R. nº 3, de 1975) o óbice incidia apenas sobre as execuções por títulos judiciais, e o novo Regimento - de 1981 - não veio a atenuar a restrição, em tal caso, mas sim o que fez foi impor outra limitação ao acrescentar à regra já existente "bem assim nas por título extrajudicial a partir da avaliação, inclusive". - Assim, quando se trata de execução por título extrajudicial é ela amplamente abrangida enquanto em se tratando em execução por título extrajudicial o óbice só incide a partir da avaliação, inclusive (RE 85.013 - SP, Pleno, em 08 de setembro de 1977 RE 101.380; RE 98.917; Ag. 94.657 (AgRg). - Deste modo, não tendo sequer sido alegada a ocorrência de qualquer das exceções previstas no "caput" do artigo 325 do RI/STF, tal como acentuado no despacho ora impugnado, não merece acolhimento a inconformação em exame. - Pelo exposto, nego provimento ao agravo. Julgado em 11-09-1984 Revista Trimestral de Jurisprudência. Vol. 114 - Pág. 235 EMFOR 464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restrição referente à parte final do inciso VI, do art. 325, do RI/STF, apenas diz respeito às execuções decorrentes de títulos extrajudiciais. - A alteração que, no particular, houve no atual Regimento Interno, em relação ao anterior, não foi para atenuar a restrição existente, mas sim para impor outra, com inclusão das execuções por título extrajudicial, embora, no tocante a estas - e só a estas - a limitação ao recurso extraordinário só ocorra a partir da avaliação, inclusive.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2026-10-26T04:18:12.845Z</dcterms:created>
  <dcterms:modified xsi:type="dcterms:W3CDTF">2026-10-26T04:18:12.845Z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