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/>
    <w:p>
      <w:r>
        <w:t xml:space="preserve">REEXAME — HIPÓTESE DE SEPARAÇÃO DE FATO POR MAIS DE CINCO ANOS - QUANDO NÃO O ENSEJA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questão alusiva ao tempo de separação é insuscetível do reexame na instância extraordinária, a teor da Súmula 279 (*), e aliás, sequer foi abordada pelo v. acórdão recorrido ... . - ....................................................................... - No RE 97.191-2-CE, de que fui relator, esta Turma decidiu, em acórdão assim ementado: "Divórcio - Ação de divórcio baseada no art. 40 da Lei 6.515/77 - A prova da separação de fato do casal, por mais de cinco anos, reconhecida em ambas as instâncias, constitui matéria insuscetível de reexame em recurso extraordinário, em face da Súmula 279 (*) - Alegação de negativa de vigência do art. 336 do CPC, que não é de reconhecer-se. Ac. de 06-09-1988 DJU de 13-3-1992 Revista dos Tribunais - Outubro de 1992 - Vol. 684 - Pág. 222 (*) "Para simples reexame de prova não cabe recurso extraordinário" ("EMFOR", Nº 193). EMFOR 534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prova da separação de fato do casal, por mais de cinco anos, acolhida em ambas as instâncias, é insuscetível de reexame em recurso extraordinário. Incidência da Súmula 279 (*).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2026-07-27T23:41:29.990Z</dcterms:created>
  <dcterms:modified xsi:type="dcterms:W3CDTF">2026-07-27T23:41:29.990Z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