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19/06/1936</w:t>
      </w:r>
    </w:p>
    <w:p/>
    <w:p>
      <w:r>
        <w:t xml:space="preserve">PREQUESTIONAMENTO — FALTA - ACÓRDÃO RECORRIDO EM DESCONFORMIDADE COM A JURISPRUDÊNCIA - NÃO CONHECIMENTO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obstante esteja o acórdão em desconformidade com a jurisprudência desta Corte acerca da matéria (RREE 102.900-5 - rs E 108.355-7 - SP), na espécie, não há como conhecer do apelo extremo do Estado. - De fato, os dispositivos indicados no recurso como vulnerados não se prequestionaram, no aresto ou em embargos de declaração. - Incidem, na espécie, as Súmulas 282 (*) e (**). - De referência ao dissídio pretoriano, os paradigmas não atendem a Súmula 291 (***) e ao art. 322, do RISTF, como bem anotou o despacho presidencial, ao inadmitir o apelo. - Decisões da mesma Corte não servem, outrossim, a fundamentar a divergência aos efeitos da letra &lt;&lt;d&gt;&gt;, do permissivo constitucional. - Do exposto, não conheço do recurso extraordinário. Julgado em 20-06-1936 Arquivo do STF - DJ 27-03-87 - Ementário Nº 1.454-2 Arquivo do Ementário Forense, STF/7. (*) &lt;&lt;É inadmissível o recurso extraordinário, quando não ventilada, na decisão recorrida, a questão federal suscitada. &gt;&gt; (&lt;&lt;EMENTÁRIO FORENSE&gt;&gt;, Nº 195, st. CABIMENTO). (**) &lt;&lt;O ponto omissivo da decisão, sobre o qual não foram opostos embargos declaratórios, não pode ser objeto de recurso extraordinário, por faltar o requisito do prequestionamento.&gt;&gt; (&lt;&lt;EMENTÁRIO FORENSE&gt;&gt;, Nº 196, st. CABIMENTO). (***)&lt;&lt; No recurso extraordinário pela letra &lt;&lt;d&gt;&gt; do art. 101, III, da Constituição, a prova do dissídio jurisprudencial far-se-á por certidão, ou mediante a indicação do &lt;&lt;Diário da Justiça&gt;&gt;, ou de repertório de jurisprudência autorizado, com a transcrição do trecho que configure a divergência, mencionadas as circunstâncias que identifi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acórdão recorrido esteja em desconformidade com orientação do STF sobre a matéria, não se conhece do recurso extraordinário, se os dispositivos constitucionais e legais tidos por violados não se prequestionaram, no aresto ou em embargos de declaração, nem se demonstrou o dissídio pretoriano.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2026-07-27T23:32:32.251Z</dcterms:created>
  <dcterms:modified xsi:type="dcterms:W3CDTF">2026-07-27T23:32:32.251Z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