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Recurso: </w:t>
      </w:r>
      <w:r>
        <w:t xml:space="preserve">MS 9.348</w:t>
      </w:r>
    </w:p>
    <w:p/>
    <w:p>
      <w:r>
        <w:t xml:space="preserve">AQUISIÇÃO DE BENS — ABRANGÊNCIA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Está isenta de impostos federais a aquisição de bens pela Rede Ferroviária Federal. Referência: - Lei nº 3.115, de 16 de março de 1957, art.28 RMS 9.348, de 24.04.63. Súmula de Jurisprudência Predominante do Supremo Tribunal Federal - Aprovada em Sessão de 13-12-1963 - pág. 59 EMFOR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2026-07-27T23:38:41.963Z</dcterms:created>
  <dcterms:modified xsi:type="dcterms:W3CDTF">2026-07-27T23:38:41.963Z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