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26/11/1981</w:t>
      </w:r>
    </w:p>
    <w:p/>
    <w:p>
      <w:r>
        <w:t xml:space="preserve">SE É VÁLIDA A LEVADA A EFEITO EM CARTÓRIO QUE NÃO O 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Entre outros requisitos, é de considerar-se o recurso tempestivo, quando protocolada ou recebida a petição interposta pelo cartório, mostrando-se inválida a entrega em outro cartório, por engano da parte, ainda que dentro do prazo recursal. - Ao dispor o parágrafo único, do art. 514, do CPC, que a petição será entregue em cartório, referiu-se à repartição judicial em que o efeito corre pelo simples e invencível fato do requisito da publicidade dos atos processuais, sem a qual as partes ficariam cerceadas no direito de fiscalização sobre o regular andamento do processo, gerando insegurança. - A decisão agravada deu exata interpretação ao texto legal antes invocado, merecendo confirmada. - O erro da agravante, apresentando a petição interpositiva da apelação em cartório diverso daquele em que corria o efeito, mostra-se inescusável. - Admitir a tese da agravante, sem dúvida, seria possibilitar a balbúrdia e criar favorecimento, tratando de morte a norma legal expressa, além de obstar a publicidade do ato e impossibilitar a fiscalização da parte adversa. - As razões que inspiraram o parágrafo único, do art. 514, do CPC estariam sepultadas se admitida a entrega da petição interpositiva em cartório que não o próprio. - Nego provimento. Julgado em 27-11-1981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dispor o § único, do artigo 514, do Código de Processo Civil, que a petição será entregue em Cartório, referiu-se à repartição judicial em que corre a ação, visando dar publicidade aos atos processuais e possibilitar a fiscalização da parte adversa, quanto à regular tramitação do feito, razão por que constitui erro inescusável a interposição da apelação em cartório que não o próprio.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2026-10-26T01:59:05.627Z</dcterms:created>
  <dcterms:modified xsi:type="dcterms:W3CDTF">2026-10-26T01:59:05.627Z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